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#1015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16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15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3,682,623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23,199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3,599,468</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59,956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₱3,549,933,036.21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₱2,785,842,751.08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2,785,842,751.08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3,549,933,036.21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96,487,020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99,563,970.23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₱1,191,920,987.04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202124"/>
          <w:sz w:val="24"/>
          <w:szCs w:val="24"/>
          <w:rtl w:val="0"/>
        </w:rPr>
        <w:t xml:space="preserve">₱141,109,022.97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₱68,594,777.99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479,499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₱305,804,724.89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b w:val="1"/>
          <w:color w:val="202124"/>
          <w:sz w:val="24"/>
          <w:szCs w:val="24"/>
          <w:rtl w:val="0"/>
        </w:rPr>
        <w:t xml:space="preserve">₱253,329,376.42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202124"/>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₱491,677,862.76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tl w:val="0"/>
        </w:rPr>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76"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76"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3">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7">
            <w:pPr>
              <w:spacing w:after="0" w:line="276"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9">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A">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D">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0">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4">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5">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6">
            <w:pPr>
              <w:spacing w:after="0" w:line="276"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141,109,022.97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479,499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305,804,724.89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253,329,376.42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491,677,862.76</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1,191,920,987.04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D">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4">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59,129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36,848,225.00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102,793,478.38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152,030,848.03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291,672,551.41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B">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25,441,612.90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25,521,662.90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2">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9">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0">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5,283,951.78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30,722,597.11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7">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5,264,905.80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3,118,110.00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77,336,251.43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E">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15,009,949.60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48,835,948.72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5">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12,919,444.97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60,307,223.66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C">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3,517,083.00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407,385.60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21,364,874.31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3">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7,467,170.00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27,534,799.08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43,714,351.69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A">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9,431,433.68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15,450,116.87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28,020,650.55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1">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8">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29,720,122.82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78,863,218.47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F">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8,251,361.00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18,004,530.80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34,040,883.80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6">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D">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10,305,587.20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133,546,714.57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4">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422,736.60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12,960,763.56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B">
            <w:pPr>
              <w:spacing w:after="0" w:line="276"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17,597,571.65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E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30,527,055.19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E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55,961,922.40</w:t>
            </w:r>
            <w:r w:rsidDel="00000000" w:rsidR="00000000" w:rsidRPr="00000000">
              <w:rPr>
                <w:rtl w:val="0"/>
              </w:rPr>
            </w:r>
          </w:p>
        </w:tc>
      </w:tr>
    </w:tbl>
    <w:p w:rsidR="00000000" w:rsidDel="00000000" w:rsidP="00000000" w:rsidRDefault="00000000" w:rsidRPr="00000000" w14:paraId="00001DE2">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16 April 2022, 4PM. Replenishment of Standby Funds for DSWD-FOs VIII and XI is currently being processed.</w:t>
      </w:r>
    </w:p>
    <w:p w:rsidR="00000000" w:rsidDel="00000000" w:rsidP="00000000" w:rsidRDefault="00000000" w:rsidRPr="00000000" w14:paraId="00001DE3">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5">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D">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8">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9">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3">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4">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5">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6">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9">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A">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5">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6">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E">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F">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6">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8">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A">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B">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3">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4">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8">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9">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A">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B">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4">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5">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B">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4">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5">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B">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D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D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B">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C">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D">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E">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F">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E0">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E1">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2">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3">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4">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13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A">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B">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4">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6">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F00">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01">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2">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3">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4">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C">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11">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2">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3">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6">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D">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E">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F">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7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B">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8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8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8">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C">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D">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E">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F">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90">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9">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A">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D">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E">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A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A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F">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B0">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4">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8">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9">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A">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E">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C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C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2">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4">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5">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6">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A">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C">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D">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E">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F">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JOANNA CAMILLE R. JACINTO</w:t>
            </w:r>
          </w:p>
          <w:p w:rsidR="00000000" w:rsidDel="00000000" w:rsidP="00000000" w:rsidRDefault="00000000" w:rsidRPr="00000000" w14:paraId="00001FE3">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E4">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5">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8">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F">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0">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F1">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#1015 on the Coronavirus Disease (COVID19) as of 16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A">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B">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