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#1018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19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18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3,683,211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19,923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3,603,312</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59,976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₱3,549,933,036.21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₱2,785,842,751.08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2,785,842,751.08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3,549,933,036.21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96,487,020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99,563,970.23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₱1,152,855,827.50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₱136,108,361.55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₱68,594,777.99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474,759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₱299,888,832.60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₱244,889,621.19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₱471,969,012.16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9">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136,108,361.55</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474,759</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299,888,832.60</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244,889,621.19</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471,969,012.16</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efefef" w:val="clear"/>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1,152,855,827.50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39,547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24,609,475.00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96,173,132.01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128,903,418.03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249,686,025.04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8,040.00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25,441,612.90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25,521,662.90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10,361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5,276,260.42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30,714,905.75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8,334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5,255,985.80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3,115,110.00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77,324,331.43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22,384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15,885,494.56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49,711,493.68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12,919,444.97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60,307,223.66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7,083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3,517,083.00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407,385.60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16,364,212.89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7,467,170.00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27,534,799.08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43,714,351.69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27,818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17,342,872.27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1,842,842.50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20,312,676.87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39,498,391.64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17,984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9,828,076.16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28,056,855.39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29,720,122.82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78,863,218.47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19,050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8,606,875.00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18,004,530.80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34,396,397.80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9,798,300.00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50,454,141.78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947,434.01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9,394,071.60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132,629,547.61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422,736.60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12,960,763.56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26,946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17,578,678.66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D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29,994,590.19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1DE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55,410,564.41</w:t>
            </w:r>
            <w:r w:rsidDel="00000000" w:rsidR="00000000" w:rsidRPr="00000000">
              <w:rPr>
                <w:rtl w:val="0"/>
              </w:rPr>
            </w:r>
          </w:p>
        </w:tc>
      </w:tr>
    </w:tbl>
    <w:p w:rsidR="00000000" w:rsidDel="00000000" w:rsidP="00000000" w:rsidRDefault="00000000" w:rsidRPr="00000000" w14:paraId="00001DE1">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19 April 2022, 4PM. Replenishment of Standby Funds for DSWD-FOs VI, VIII and XI are currently being processed.</w:t>
      </w:r>
    </w:p>
    <w:p w:rsidR="00000000" w:rsidDel="00000000" w:rsidP="00000000" w:rsidRDefault="00000000" w:rsidRPr="00000000" w14:paraId="00001DE2">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3">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3">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5">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1">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2">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3">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3">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8">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2">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4">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5">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5">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6">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5">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6">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7">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E">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F">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0">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2">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13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6">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7">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8">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2">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3">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4">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B">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E">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0">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8">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E">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F">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0">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3">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C">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A">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B">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C">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D">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E">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A">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B">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C">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5">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F">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E">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2">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3">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4">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9">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A">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B">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C">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E1">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5">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E">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#1018 on the Coronavirus Disease (COVID19) as of 19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7">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8">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