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#1029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30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29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3,685,403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8,389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3,616,709</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60,305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₱3,549,933,036.21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₱2,785,842,751.08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2,785,842,751.08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3,549,933,036.21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96,487,020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99,563,970.23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₱1,101,606,863.16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₱92,401,350.60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₱13,679,177.04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477,668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₱303,144,890.50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₱229,768,299.07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₱476,292,322.99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fw1ib7hvavhw" w:id="3"/>
      <w:bookmarkEnd w:id="3"/>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9">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92,401,350.60</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477,668</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303,144,890.50</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229,768,299.07</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476,292,322.99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1,101,606,863.16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13,679,177.04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13,679,177.04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26,110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16,527,630.00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77,006,839.24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111,049,164.03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204,583,633.27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477,040.00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26,690,162.90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27,239,212.90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5,436,340.00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13,780,340.35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42,830,261.25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20,971,425.75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2,129,188.01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55,097,208.16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5,268,569.06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30,707,214.39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8,194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5,181,167.80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3,109,962.00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77,244,365.43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22,884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16,235,436.18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50,061,435.30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26,214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12,906,136.97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37,167,534.65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62,614,480.66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8,078,154.00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2,169,262.40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19,058,332.64</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34,305,749.04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11,930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6,408,900.00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26,338,672.73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41,459,955.34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23,380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14,721,559.27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1,842,842.50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31,433,626.87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52,998,028.64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16,984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9,281,586.16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27,510,365.39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25,845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18,616,680.41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23,142,553.74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29,074,277.30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77,026,828.95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5,090,000.00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21,121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13,098,662.00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12,769,213.00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17,785,030.80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48,742,905.80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43,091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25,485,800.00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33,936,516.93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72,062,141.78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152,123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105,024,583.60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239,005.61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6,456,378.60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116,719,967.81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1,165,763.30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1,941,107.92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10,664,334.88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26,787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17,484,111.38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3,580,076.44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29,994,590.19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E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56,059,597.13</w:t>
            </w:r>
            <w:r w:rsidDel="00000000" w:rsidR="00000000" w:rsidRPr="00000000">
              <w:rPr>
                <w:rtl w:val="0"/>
              </w:rPr>
            </w:r>
          </w:p>
        </w:tc>
      </w:tr>
    </w:tbl>
    <w:p w:rsidR="00000000" w:rsidDel="00000000" w:rsidP="00000000" w:rsidRDefault="00000000" w:rsidRPr="00000000" w14:paraId="00001DE1">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30 April 2022, 4PM. Replenishment of standby funds for DSWD Central Office and DSWD-FO NCR is currently being processed.</w:t>
      </w:r>
    </w:p>
    <w:p w:rsidR="00000000" w:rsidDel="00000000" w:rsidP="00000000" w:rsidRDefault="00000000" w:rsidRPr="00000000" w14:paraId="00001DE2">
      <w:pPr>
        <w:spacing w:after="0" w:line="240" w:lineRule="auto"/>
        <w:ind w:left="6480" w:right="57" w:firstLine="720"/>
        <w:jc w:val="both"/>
        <w:rPr>
          <w:rFonts w:ascii="Arial" w:cs="Arial" w:eastAsia="Arial" w:hAnsi="Arial"/>
          <w:i w:val="1"/>
          <w:color w:val="0070c0"/>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3">
      <w:pP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B">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8">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3">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4">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9">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3">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4">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4">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6">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8">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9">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5">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8">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2">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3">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2">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3">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7">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B">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D">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F">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0">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1">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3">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25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7">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8">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4">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C">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F">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0">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2">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F">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0">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1">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4">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D">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B">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C">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6">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C">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D">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E">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B">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D">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D">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E">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6">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0">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3">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4">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A">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B">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D">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tc>
        <w:tc>
          <w:tcPr/>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3">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6">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F">
    <w:pPr>
      <w:spacing w:after="0" w:line="240" w:lineRule="auto"/>
      <w:ind w:left="720" w:hanging="720"/>
      <w:jc w:val="right"/>
      <w:rPr>
        <w:rFonts w:ascii="Arial" w:cs="Arial" w:eastAsia="Arial" w:hAnsi="Arial"/>
        <w:sz w:val="14"/>
        <w:szCs w:val="14"/>
      </w:rPr>
    </w:pPr>
    <w:bookmarkStart w:colFirst="0" w:colLast="0" w:name="_2et92p0" w:id="4"/>
    <w:bookmarkEnd w:id="4"/>
    <w:r w:rsidDel="00000000" w:rsidR="00000000" w:rsidRPr="00000000">
      <w:rPr>
        <w:rFonts w:ascii="Arial" w:cs="Arial" w:eastAsia="Arial" w:hAnsi="Arial"/>
        <w:sz w:val="14"/>
        <w:szCs w:val="14"/>
        <w:rtl w:val="0"/>
      </w:rPr>
      <w:t xml:space="preserve">DSWD DROMIC Report #1029 on the Coronavirus Disease (COVID19) as of 30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8">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9">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