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86867" w14:textId="5F6F97AD" w:rsidR="00F70381" w:rsidRDefault="00F70381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F70381">
        <w:rPr>
          <w:rFonts w:ascii="Arial" w:hAnsi="Arial" w:cs="Arial"/>
          <w:b/>
          <w:sz w:val="32"/>
          <w:szCs w:val="24"/>
        </w:rPr>
        <w:t xml:space="preserve">DSWD DROMIC </w:t>
      </w:r>
      <w:r w:rsidR="003F48F0">
        <w:rPr>
          <w:rFonts w:ascii="Arial" w:hAnsi="Arial" w:cs="Arial"/>
          <w:b/>
          <w:sz w:val="32"/>
          <w:szCs w:val="24"/>
        </w:rPr>
        <w:t>Terminal Report</w:t>
      </w:r>
      <w:r w:rsidRPr="00F70381">
        <w:rPr>
          <w:rFonts w:ascii="Arial" w:hAnsi="Arial" w:cs="Arial"/>
          <w:b/>
          <w:sz w:val="32"/>
          <w:szCs w:val="24"/>
        </w:rPr>
        <w:t xml:space="preserve"> on the Fire Incident in </w:t>
      </w:r>
    </w:p>
    <w:p w14:paraId="652DE877" w14:textId="65A63EFC" w:rsidR="00F70381" w:rsidRDefault="00F70381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proofErr w:type="spellStart"/>
      <w:r>
        <w:rPr>
          <w:rFonts w:ascii="Arial" w:hAnsi="Arial" w:cs="Arial"/>
          <w:b/>
          <w:sz w:val="32"/>
          <w:szCs w:val="24"/>
        </w:rPr>
        <w:t>Brgy</w:t>
      </w:r>
      <w:proofErr w:type="spellEnd"/>
      <w:r>
        <w:rPr>
          <w:rFonts w:ascii="Arial" w:hAnsi="Arial" w:cs="Arial"/>
          <w:b/>
          <w:sz w:val="32"/>
          <w:szCs w:val="24"/>
        </w:rPr>
        <w:t xml:space="preserve">. </w:t>
      </w:r>
      <w:proofErr w:type="spellStart"/>
      <w:r>
        <w:rPr>
          <w:rFonts w:ascii="Arial" w:hAnsi="Arial" w:cs="Arial"/>
          <w:b/>
          <w:sz w:val="32"/>
          <w:szCs w:val="24"/>
        </w:rPr>
        <w:t>Paligsahan</w:t>
      </w:r>
      <w:proofErr w:type="spellEnd"/>
      <w:r>
        <w:rPr>
          <w:rFonts w:ascii="Arial" w:hAnsi="Arial" w:cs="Arial"/>
          <w:b/>
          <w:sz w:val="32"/>
          <w:szCs w:val="24"/>
        </w:rPr>
        <w:t>, Quezon City</w:t>
      </w:r>
    </w:p>
    <w:p w14:paraId="1A40A36D" w14:textId="33588BF9" w:rsidR="00443495" w:rsidRPr="00AD3032" w:rsidRDefault="003F48F0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10 April</w:t>
      </w:r>
      <w:r w:rsidR="005F067E">
        <w:rPr>
          <w:rFonts w:ascii="Arial" w:eastAsia="Arial" w:hAnsi="Arial" w:cs="Arial"/>
          <w:sz w:val="24"/>
          <w:szCs w:val="24"/>
        </w:rPr>
        <w:t xml:space="preserve">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69870D85" w14:textId="7AD339DB" w:rsidR="000E7EC3" w:rsidRDefault="00261A8B" w:rsidP="00060770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145F7B3A" w14:textId="77777777" w:rsidR="001B2646" w:rsidRPr="00060770" w:rsidRDefault="001B2646" w:rsidP="001B2646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2C718583" w14:textId="41C0829D" w:rsidR="008A1B50" w:rsidRPr="00AD3032" w:rsidRDefault="005948E5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</w:t>
      </w:r>
      <w:r w:rsidR="00F70381">
        <w:rPr>
          <w:rFonts w:ascii="Arial" w:hAnsi="Arial" w:cs="Arial"/>
          <w:sz w:val="24"/>
          <w:szCs w:val="24"/>
          <w:lang w:val="en-US"/>
        </w:rPr>
        <w:t>14 February, 2022 at around 10:17 PM</w:t>
      </w:r>
      <w:r>
        <w:rPr>
          <w:rFonts w:ascii="Arial" w:hAnsi="Arial" w:cs="Arial"/>
          <w:sz w:val="24"/>
          <w:szCs w:val="24"/>
          <w:lang w:val="en-US"/>
        </w:rPr>
        <w:t xml:space="preserve">, a fire incident transpired in </w:t>
      </w:r>
      <w:proofErr w:type="spellStart"/>
      <w:r w:rsidR="00F70381" w:rsidRPr="00F70381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="00F70381" w:rsidRPr="00F70381">
        <w:rPr>
          <w:rFonts w:ascii="Arial" w:hAnsi="Arial" w:cs="Arial"/>
          <w:sz w:val="24"/>
          <w:szCs w:val="24"/>
          <w:lang w:val="en-US"/>
        </w:rPr>
        <w:t xml:space="preserve">. </w:t>
      </w:r>
      <w:proofErr w:type="spellStart"/>
      <w:r w:rsidR="00F70381" w:rsidRPr="00F70381">
        <w:rPr>
          <w:rFonts w:ascii="Arial" w:hAnsi="Arial" w:cs="Arial"/>
          <w:sz w:val="24"/>
          <w:szCs w:val="24"/>
          <w:lang w:val="en-US"/>
        </w:rPr>
        <w:t>Paligsahan</w:t>
      </w:r>
      <w:proofErr w:type="spellEnd"/>
      <w:r w:rsidR="00F70381" w:rsidRPr="00F70381">
        <w:rPr>
          <w:rFonts w:ascii="Arial" w:hAnsi="Arial" w:cs="Arial"/>
          <w:sz w:val="24"/>
          <w:szCs w:val="24"/>
          <w:lang w:val="en-US"/>
        </w:rPr>
        <w:t>, Quezon City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53BA1DE7" w:rsidR="00E0043D" w:rsidRPr="00AD3032" w:rsidRDefault="00F70381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>
        <w:rPr>
          <w:rFonts w:ascii="Arial" w:eastAsia="Arial" w:hAnsi="Arial" w:cs="Arial"/>
          <w:i/>
          <w:color w:val="0070C0"/>
          <w:sz w:val="16"/>
          <w:szCs w:val="24"/>
        </w:rPr>
        <w:t>Source: DSWD-Field Office (FO) NCR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19BCC087" w14:textId="77777777" w:rsidR="001B2646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B5B7D04" w14:textId="3E107DF4" w:rsidR="000E7EC3" w:rsidRPr="00060770" w:rsidRDefault="00261A8B" w:rsidP="001B2646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  </w:t>
      </w:r>
    </w:p>
    <w:p w14:paraId="17420309" w14:textId="4EC9F996" w:rsidR="00E0043D" w:rsidRPr="0083058B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A63865">
        <w:rPr>
          <w:rFonts w:ascii="Arial" w:eastAsia="Arial" w:hAnsi="Arial" w:cs="Arial"/>
          <w:b/>
          <w:color w:val="0070C0"/>
          <w:sz w:val="24"/>
          <w:szCs w:val="24"/>
        </w:rPr>
        <w:t>197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A63865">
        <w:rPr>
          <w:rFonts w:ascii="Arial" w:eastAsia="Arial" w:hAnsi="Arial" w:cs="Arial"/>
          <w:b/>
          <w:color w:val="0070C0"/>
          <w:sz w:val="24"/>
          <w:szCs w:val="24"/>
        </w:rPr>
        <w:t>631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0D3AAB" w:rsidRPr="0083058B">
        <w:rPr>
          <w:rFonts w:ascii="Arial" w:eastAsia="Arial" w:hAnsi="Arial" w:cs="Arial"/>
          <w:b/>
          <w:bCs/>
          <w:sz w:val="24"/>
          <w:szCs w:val="24"/>
        </w:rPr>
        <w:t>Brgy</w:t>
      </w:r>
      <w:proofErr w:type="spellEnd"/>
      <w:r w:rsidR="000D3AAB" w:rsidRPr="0083058B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proofErr w:type="spellStart"/>
      <w:r w:rsidR="000D3AAB" w:rsidRPr="0083058B">
        <w:rPr>
          <w:rFonts w:ascii="Arial" w:eastAsia="Arial" w:hAnsi="Arial" w:cs="Arial"/>
          <w:b/>
          <w:bCs/>
          <w:sz w:val="24"/>
          <w:szCs w:val="24"/>
        </w:rPr>
        <w:t>Paligsahan</w:t>
      </w:r>
      <w:proofErr w:type="spellEnd"/>
      <w:r w:rsidR="000D3AAB" w:rsidRPr="0083058B">
        <w:rPr>
          <w:rFonts w:ascii="Arial" w:eastAsia="Arial" w:hAnsi="Arial" w:cs="Arial"/>
          <w:b/>
          <w:bCs/>
          <w:sz w:val="24"/>
          <w:szCs w:val="24"/>
        </w:rPr>
        <w:t>, Quezon City</w:t>
      </w:r>
      <w:r w:rsidR="00AE2899" w:rsidRPr="0083058B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3058B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7"/>
        <w:gridCol w:w="1736"/>
        <w:gridCol w:w="1212"/>
        <w:gridCol w:w="1209"/>
      </w:tblGrid>
      <w:tr w:rsidR="00F70381" w:rsidRPr="00F70381" w14:paraId="3A202FAB" w14:textId="77777777" w:rsidTr="00F70381">
        <w:trPr>
          <w:trHeight w:val="20"/>
        </w:trPr>
        <w:tc>
          <w:tcPr>
            <w:tcW w:w="2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424D0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50150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F70381" w:rsidRPr="00F70381" w14:paraId="6EB1BCC9" w14:textId="77777777" w:rsidTr="00F70381">
        <w:trPr>
          <w:trHeight w:val="20"/>
        </w:trPr>
        <w:tc>
          <w:tcPr>
            <w:tcW w:w="2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A1EE9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50B75F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97928E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DDF94C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F70381" w:rsidRPr="00F70381" w14:paraId="366B9850" w14:textId="77777777" w:rsidTr="00F70381">
        <w:trPr>
          <w:trHeight w:val="20"/>
        </w:trPr>
        <w:tc>
          <w:tcPr>
            <w:tcW w:w="269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386ACB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5D00D" w14:textId="3E9997BE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B688D" w14:textId="1D5AF03C" w:rsidR="00F70381" w:rsidRPr="00F70381" w:rsidRDefault="00F70381" w:rsidP="0045441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544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16BD5E" w14:textId="16221017" w:rsidR="00F70381" w:rsidRPr="00F70381" w:rsidRDefault="00E81807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631</w:t>
            </w:r>
            <w:r w:rsidR="00F70381"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70381" w:rsidRPr="00F70381" w14:paraId="70B00911" w14:textId="77777777" w:rsidTr="00F70381">
        <w:trPr>
          <w:trHeight w:val="20"/>
        </w:trPr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F14BF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BBB81" w14:textId="701D4DF5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50EB7" w14:textId="72DA3A95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18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26DED" w14:textId="4F66B7E6" w:rsidR="00F70381" w:rsidRPr="00F70381" w:rsidRDefault="00E81807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631</w:t>
            </w:r>
            <w:r w:rsidR="00F70381"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70381" w:rsidRPr="00F70381" w14:paraId="2B543820" w14:textId="77777777" w:rsidTr="00F70381">
        <w:trPr>
          <w:trHeight w:val="20"/>
        </w:trPr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8C7A4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EF98CC" w14:textId="49915285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5A91E" w14:textId="44FB235A" w:rsidR="00F70381" w:rsidRPr="00F70381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18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  <w:r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5CA06" w14:textId="38CADC94" w:rsidR="00F70381" w:rsidRPr="00F70381" w:rsidRDefault="00E81807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631</w:t>
            </w:r>
            <w:r w:rsidR="00F70381" w:rsidRPr="00F7038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70381" w:rsidRPr="00F70381" w14:paraId="22B9E7C6" w14:textId="77777777" w:rsidTr="00F70381">
        <w:trPr>
          <w:trHeight w:val="20"/>
        </w:trPr>
        <w:tc>
          <w:tcPr>
            <w:tcW w:w="2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9E57C" w14:textId="77777777" w:rsidR="00F70381" w:rsidRPr="00F70381" w:rsidRDefault="00F70381" w:rsidP="00F7038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038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5B94A" w14:textId="77777777" w:rsidR="00F70381" w:rsidRPr="00A87057" w:rsidRDefault="00F70381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87057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20D4B" w14:textId="0A14C29C" w:rsidR="00F70381" w:rsidRPr="00A87057" w:rsidRDefault="00E81807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87057">
              <w:rPr>
                <w:rFonts w:ascii="Arial" w:hAnsi="Arial" w:cs="Arial"/>
                <w:i/>
                <w:color w:val="000000"/>
                <w:sz w:val="20"/>
                <w:szCs w:val="20"/>
              </w:rPr>
              <w:t>197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4E60A" w14:textId="0F588213" w:rsidR="00F70381" w:rsidRPr="00A87057" w:rsidRDefault="00454410" w:rsidP="00F7038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631</w:t>
            </w:r>
          </w:p>
        </w:tc>
      </w:tr>
    </w:tbl>
    <w:p w14:paraId="0AB8D380" w14:textId="2D529958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E2239F" w:rsidRPr="00E2239F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The decrease in the number of families and persons</w:t>
      </w:r>
      <w:r w:rsidR="00EF32E2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affected</w:t>
      </w:r>
      <w:r w:rsidR="00E2239F" w:rsidRPr="00E2239F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is due to the final validation conducted by the Quezon City Social Services and Development Department submitted to DSWD Field Office NCR;</w:t>
      </w:r>
    </w:p>
    <w:p w14:paraId="0DFF31BA" w14:textId="24E1489F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0D3AAB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C93A53F" w14:textId="698A656D" w:rsidR="006B353A" w:rsidRDefault="00261A8B" w:rsidP="00060770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7D61F3B1" w14:textId="77777777" w:rsidR="001B2646" w:rsidRPr="00060770" w:rsidRDefault="001B2646" w:rsidP="001B2646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6D75C7C7" w:rsidR="00524481" w:rsidRPr="00AD3032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</w:t>
      </w:r>
      <w:r w:rsidR="00E81807">
        <w:rPr>
          <w:rFonts w:ascii="Arial" w:hAnsi="Arial" w:cs="Arial"/>
          <w:sz w:val="24"/>
          <w:szCs w:val="24"/>
        </w:rPr>
        <w:t>were a total of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="00E81807">
        <w:rPr>
          <w:rFonts w:ascii="Arial" w:eastAsia="Arial" w:hAnsi="Arial" w:cs="Arial"/>
          <w:b/>
          <w:color w:val="0070C0"/>
          <w:sz w:val="24"/>
          <w:szCs w:val="24"/>
        </w:rPr>
        <w:t>197</w:t>
      </w:r>
      <w:r w:rsidR="00AE2899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E81807">
        <w:rPr>
          <w:rFonts w:ascii="Arial" w:eastAsia="Arial" w:hAnsi="Arial" w:cs="Arial"/>
          <w:b/>
          <w:color w:val="0070C0"/>
          <w:sz w:val="24"/>
          <w:szCs w:val="24"/>
        </w:rPr>
        <w:t>631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 w:rsidR="00E81807">
        <w:rPr>
          <w:rFonts w:ascii="Arial" w:eastAsia="Arial" w:hAnsi="Arial" w:cs="Arial"/>
          <w:sz w:val="24"/>
          <w:szCs w:val="24"/>
        </w:rPr>
        <w:t>who took</w:t>
      </w:r>
      <w:r>
        <w:rPr>
          <w:rFonts w:ascii="Arial" w:eastAsia="Arial" w:hAnsi="Arial" w:cs="Arial"/>
          <w:sz w:val="24"/>
          <w:szCs w:val="24"/>
        </w:rPr>
        <w:t xml:space="preserve"> temporary shelter</w:t>
      </w:r>
      <w:r w:rsidR="00524481" w:rsidRPr="00AD3032">
        <w:rPr>
          <w:rFonts w:ascii="Arial" w:hAnsi="Arial" w:cs="Arial"/>
          <w:sz w:val="24"/>
          <w:szCs w:val="24"/>
        </w:rPr>
        <w:t xml:space="preserve"> </w:t>
      </w:r>
      <w:r w:rsidR="00AE2899" w:rsidRPr="00AD30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="000D3AAB" w:rsidRPr="00E81807">
        <w:rPr>
          <w:rFonts w:ascii="Arial" w:hAnsi="Arial" w:cs="Arial"/>
          <w:b/>
          <w:bCs/>
          <w:sz w:val="24"/>
          <w:szCs w:val="24"/>
        </w:rPr>
        <w:t xml:space="preserve">Manuel </w:t>
      </w:r>
      <w:proofErr w:type="spellStart"/>
      <w:r w:rsidR="000D3AAB" w:rsidRPr="00E81807">
        <w:rPr>
          <w:rFonts w:ascii="Arial" w:hAnsi="Arial" w:cs="Arial"/>
          <w:b/>
          <w:bCs/>
          <w:sz w:val="24"/>
          <w:szCs w:val="24"/>
        </w:rPr>
        <w:t>Roxas</w:t>
      </w:r>
      <w:proofErr w:type="spellEnd"/>
      <w:r w:rsidR="000D3AAB" w:rsidRPr="00E81807">
        <w:rPr>
          <w:rFonts w:ascii="Arial" w:hAnsi="Arial" w:cs="Arial"/>
          <w:b/>
          <w:bCs/>
          <w:sz w:val="24"/>
          <w:szCs w:val="24"/>
        </w:rPr>
        <w:t xml:space="preserve"> Covered Court </w:t>
      </w:r>
      <w:r w:rsidR="000E7EC3" w:rsidRPr="00E81807">
        <w:rPr>
          <w:rFonts w:ascii="Arial" w:hAnsi="Arial" w:cs="Arial"/>
          <w:bCs/>
          <w:sz w:val="24"/>
          <w:szCs w:val="24"/>
        </w:rPr>
        <w:t>(</w:t>
      </w:r>
      <w:r w:rsidR="00524481" w:rsidRPr="00E81807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2"/>
        <w:gridCol w:w="901"/>
        <w:gridCol w:w="903"/>
        <w:gridCol w:w="903"/>
        <w:gridCol w:w="904"/>
        <w:gridCol w:w="903"/>
        <w:gridCol w:w="898"/>
      </w:tblGrid>
      <w:tr w:rsidR="000D3AAB" w:rsidRPr="000D3AAB" w14:paraId="7E5A4F6A" w14:textId="77777777" w:rsidTr="000D3AAB">
        <w:trPr>
          <w:trHeight w:val="20"/>
        </w:trPr>
        <w:tc>
          <w:tcPr>
            <w:tcW w:w="1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E94F0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047629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35B47F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0D3AAB" w:rsidRPr="000D3AAB" w14:paraId="0999064C" w14:textId="77777777" w:rsidTr="000D3AAB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58932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8D2E64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4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96308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0D3AAB" w:rsidRPr="000D3AAB" w14:paraId="472BAAA4" w14:textId="77777777" w:rsidTr="00EF32E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343A9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79120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A72D3A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4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7ED12E" w14:textId="579689FD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D3AAB" w:rsidRPr="000D3AAB" w14:paraId="39B8BB11" w14:textId="77777777" w:rsidTr="00EF32E2">
        <w:trPr>
          <w:trHeight w:val="20"/>
        </w:trPr>
        <w:tc>
          <w:tcPr>
            <w:tcW w:w="1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E3778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E2EFAD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11AE11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4FA383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408A44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53CF4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0025D8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D3AAB" w:rsidRPr="000D3AAB" w14:paraId="7B949075" w14:textId="77777777" w:rsidTr="00EF32E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0889E6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9F10DA" w14:textId="4B691387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63BF0" w14:textId="4388573A" w:rsidR="000D3AAB" w:rsidRPr="000D3AAB" w:rsidRDefault="00E81807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D3AAB"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61743" w14:textId="07BCBDBD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18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76491" w14:textId="7BF32706" w:rsidR="000D3AAB" w:rsidRPr="000D3AAB" w:rsidRDefault="000D3AAB" w:rsidP="00E818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18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D9F901" w14:textId="4D6C5732" w:rsidR="000D3AAB" w:rsidRPr="000D3AAB" w:rsidRDefault="00E81807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631</w:t>
            </w:r>
            <w:r w:rsidR="000D3AAB"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32452D" w14:textId="34C8DD1C" w:rsidR="000D3AAB" w:rsidRPr="000D3AAB" w:rsidRDefault="00E81807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D3AAB"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D3AAB" w:rsidRPr="000D3AAB" w14:paraId="4F397254" w14:textId="77777777" w:rsidTr="00EF32E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6D2CA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153A5" w14:textId="027008B2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2A6A0" w14:textId="3C7D3589" w:rsidR="000D3AAB" w:rsidRPr="000D3AAB" w:rsidRDefault="000D3AAB" w:rsidP="00E818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18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F1F1F" w14:textId="6AF61E24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18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099751" w14:textId="74B80045" w:rsidR="000D3AAB" w:rsidRPr="000D3AAB" w:rsidRDefault="000D3AAB" w:rsidP="00E818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18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EDAF7" w14:textId="3F239EEF" w:rsidR="000D3AAB" w:rsidRPr="000D3AAB" w:rsidRDefault="00E81807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631</w:t>
            </w:r>
            <w:r w:rsidR="000D3AAB"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22F5B8" w14:textId="76AAAFE0" w:rsidR="000D3AAB" w:rsidRPr="000D3AAB" w:rsidRDefault="00E81807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D3AAB"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D3AAB" w:rsidRPr="000D3AAB" w14:paraId="6F0B0EF2" w14:textId="77777777" w:rsidTr="00EF32E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E3DC3A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4837F" w14:textId="4F6011C0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58497" w14:textId="2C2DDBF4" w:rsidR="000D3AAB" w:rsidRPr="000D3AAB" w:rsidRDefault="00E81807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D3AAB"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C6C72" w14:textId="567EB524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18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197</w:t>
            </w: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C93837" w14:textId="53E85485" w:rsidR="000D3AAB" w:rsidRPr="000D3AAB" w:rsidRDefault="000D3AAB" w:rsidP="00E8180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8180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E77E9" w14:textId="42078919" w:rsidR="000D3AAB" w:rsidRPr="000D3AAB" w:rsidRDefault="00E81807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631</w:t>
            </w:r>
            <w:r w:rsidR="000D3AAB"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CB0EFF" w14:textId="68B0D63F" w:rsidR="000D3AAB" w:rsidRPr="000D3AAB" w:rsidRDefault="00E81807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0D3AAB"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D3AAB" w:rsidRPr="000D3AAB" w14:paraId="70FD0AA1" w14:textId="77777777" w:rsidTr="00EF32E2">
        <w:trPr>
          <w:trHeight w:val="20"/>
        </w:trPr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9509A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5F2FF" w14:textId="77777777" w:rsidR="000D3AAB" w:rsidRPr="00A87057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87057">
              <w:rPr>
                <w:rFonts w:ascii="Arial" w:hAnsi="Arial" w:cs="Arial"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7EC51" w14:textId="27D723D9" w:rsidR="000D3AAB" w:rsidRPr="00A87057" w:rsidRDefault="00E81807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87057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E1A470" w14:textId="4FC7E4FF" w:rsidR="000D3AAB" w:rsidRPr="00A87057" w:rsidRDefault="00E81807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87057">
              <w:rPr>
                <w:rFonts w:ascii="Arial" w:hAnsi="Arial" w:cs="Arial"/>
                <w:i/>
                <w:color w:val="000000"/>
                <w:sz w:val="20"/>
                <w:szCs w:val="20"/>
              </w:rPr>
              <w:t>197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E1B54" w14:textId="40CA9393" w:rsidR="000D3AAB" w:rsidRPr="00A87057" w:rsidRDefault="00E81807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87057">
              <w:rPr>
                <w:rFonts w:ascii="Arial" w:hAnsi="Arial" w:cs="Arial"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B39A9" w14:textId="74FF828A" w:rsidR="000D3AAB" w:rsidRPr="00A87057" w:rsidRDefault="00E81807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87057">
              <w:rPr>
                <w:rFonts w:ascii="Arial" w:hAnsi="Arial" w:cs="Arial"/>
                <w:i/>
                <w:color w:val="000000"/>
                <w:sz w:val="20"/>
                <w:szCs w:val="20"/>
              </w:rPr>
              <w:t>631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7FE190" w14:textId="16A9815C" w:rsidR="000D3AAB" w:rsidRPr="000D3AAB" w:rsidRDefault="001A3970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01A4F257" w14:textId="55C64F82" w:rsidR="00EF32E2" w:rsidRPr="00500D23" w:rsidRDefault="00EF32E2" w:rsidP="00EF32E2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Pr="00E2239F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The decrease in the number of families and persons</w:t>
      </w:r>
      <w:r w:rsidR="004C0104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displaced</w:t>
      </w:r>
      <w:r w:rsidRPr="00E2239F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</w:t>
      </w:r>
      <w:r w:rsidR="004C0104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inside evacuation centers </w:t>
      </w:r>
      <w:r w:rsidRPr="00E2239F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is due to the final validation conducted by the Quezon City Social Services and Development Department submitted to DSWD Field Office NCR;</w:t>
      </w:r>
    </w:p>
    <w:p w14:paraId="792F9CC5" w14:textId="77777777" w:rsidR="00EF32E2" w:rsidRDefault="00EF32E2" w:rsidP="001B2646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265DAE0" w14:textId="0D971C91" w:rsidR="000D3AAB" w:rsidRDefault="00524481" w:rsidP="00060770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060770">
        <w:rPr>
          <w:rFonts w:ascii="Arial" w:eastAsia="Arial" w:hAnsi="Arial" w:cs="Arial"/>
          <w:i/>
          <w:color w:val="0070C0"/>
          <w:sz w:val="16"/>
          <w:szCs w:val="20"/>
        </w:rPr>
        <w:t>NCR</w:t>
      </w:r>
    </w:p>
    <w:p w14:paraId="240926E2" w14:textId="05DA22CE" w:rsidR="000D3AAB" w:rsidRDefault="000D3AAB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C75FB73" w14:textId="0ADF3A08" w:rsidR="001B2646" w:rsidRDefault="001B264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0C1F59C" w14:textId="6AB6AA56" w:rsidR="001B2646" w:rsidRDefault="001B264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CB19A6D" w14:textId="198A7ED3" w:rsidR="001B2646" w:rsidRDefault="001B264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1302FBA" w14:textId="2D09DA8F" w:rsidR="001B2646" w:rsidRDefault="001B264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E12748A" w14:textId="1A2728A3" w:rsidR="001B2646" w:rsidRDefault="001B264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B4EC59C" w14:textId="64D3CA5C" w:rsidR="001B2646" w:rsidRDefault="001B264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C072987" w14:textId="56E33EE0" w:rsidR="001B2646" w:rsidRDefault="001B264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6EFF230" w14:textId="31784F25" w:rsidR="001B2646" w:rsidRDefault="001B264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817AC45" w14:textId="300DAD94" w:rsidR="001B2646" w:rsidRDefault="001B2646" w:rsidP="001B2646">
      <w:pPr>
        <w:pStyle w:val="m-238788826140140219gmail-msonormal"/>
        <w:shd w:val="clear" w:color="auto" w:fill="FFFFFF"/>
        <w:spacing w:before="0" w:beforeAutospacing="0" w:after="0" w:afterAutospacing="0"/>
        <w:contextualSpacing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Damaged Houses</w:t>
      </w:r>
    </w:p>
    <w:p w14:paraId="3D1C9FAB" w14:textId="45A5A84B" w:rsidR="00406155" w:rsidRPr="003913C0" w:rsidRDefault="00406155" w:rsidP="0040615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303420">
        <w:rPr>
          <w:rFonts w:ascii="Arial" w:hAnsi="Arial" w:cs="Arial"/>
          <w:bCs/>
          <w:sz w:val="24"/>
          <w:szCs w:val="24"/>
        </w:rPr>
        <w:t xml:space="preserve">A total </w:t>
      </w:r>
      <w:r w:rsidR="000D3AAB" w:rsidRPr="000D3AAB">
        <w:rPr>
          <w:rFonts w:ascii="Arial" w:hAnsi="Arial" w:cs="Arial"/>
          <w:bCs/>
          <w:sz w:val="24"/>
          <w:szCs w:val="24"/>
        </w:rPr>
        <w:t>of</w:t>
      </w:r>
      <w:r w:rsidR="000D3AAB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1B2646">
        <w:rPr>
          <w:rFonts w:ascii="Arial" w:hAnsi="Arial" w:cs="Arial"/>
          <w:b/>
          <w:bCs/>
          <w:color w:val="0070C0"/>
          <w:sz w:val="24"/>
          <w:szCs w:val="24"/>
        </w:rPr>
        <w:t>47</w:t>
      </w:r>
      <w:r w:rsidR="000D3AAB" w:rsidRPr="000D3AAB">
        <w:rPr>
          <w:rFonts w:ascii="Arial" w:hAnsi="Arial" w:cs="Arial"/>
          <w:b/>
          <w:bCs/>
          <w:color w:val="0070C0"/>
          <w:sz w:val="24"/>
          <w:szCs w:val="24"/>
        </w:rPr>
        <w:t xml:space="preserve"> houses</w:t>
      </w:r>
      <w:r w:rsidR="00796923" w:rsidRPr="00753446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796923">
        <w:rPr>
          <w:rFonts w:ascii="Arial" w:hAnsi="Arial" w:cs="Arial"/>
          <w:bCs/>
          <w:sz w:val="24"/>
          <w:szCs w:val="24"/>
        </w:rPr>
        <w:t>we</w:t>
      </w:r>
      <w:r w:rsidR="00DF581B" w:rsidRPr="00303420">
        <w:rPr>
          <w:rFonts w:ascii="Arial" w:hAnsi="Arial" w:cs="Arial"/>
          <w:bCs/>
          <w:sz w:val="24"/>
          <w:szCs w:val="24"/>
        </w:rPr>
        <w:t xml:space="preserve">re </w:t>
      </w:r>
      <w:r w:rsidR="00DF581B" w:rsidRPr="00F15C1A">
        <w:rPr>
          <w:rFonts w:ascii="Arial" w:hAnsi="Arial" w:cs="Arial"/>
          <w:b/>
          <w:sz w:val="24"/>
          <w:szCs w:val="24"/>
        </w:rPr>
        <w:t>totally damaged</w:t>
      </w:r>
      <w:r w:rsidRPr="00F15C1A">
        <w:rPr>
          <w:rFonts w:ascii="Arial" w:hAnsi="Arial" w:cs="Arial"/>
          <w:bCs/>
          <w:sz w:val="24"/>
          <w:szCs w:val="24"/>
        </w:rPr>
        <w:t xml:space="preserve"> </w:t>
      </w:r>
      <w:r w:rsidR="00796923" w:rsidRPr="00F15C1A">
        <w:rPr>
          <w:rFonts w:ascii="Arial" w:hAnsi="Arial" w:cs="Arial"/>
          <w:bCs/>
          <w:sz w:val="24"/>
          <w:szCs w:val="24"/>
        </w:rPr>
        <w:t xml:space="preserve">in </w:t>
      </w:r>
      <w:proofErr w:type="spellStart"/>
      <w:r w:rsidR="000D3AAB" w:rsidRPr="00F15C1A">
        <w:rPr>
          <w:rFonts w:ascii="Arial" w:eastAsia="Times New Roman" w:hAnsi="Arial" w:cs="Arial"/>
          <w:b/>
          <w:sz w:val="24"/>
          <w:szCs w:val="24"/>
        </w:rPr>
        <w:t>Brgy</w:t>
      </w:r>
      <w:proofErr w:type="spellEnd"/>
      <w:r w:rsidR="000D3AAB" w:rsidRPr="00F15C1A">
        <w:rPr>
          <w:rFonts w:ascii="Arial" w:eastAsia="Times New Roman" w:hAnsi="Arial" w:cs="Arial"/>
          <w:b/>
          <w:sz w:val="24"/>
          <w:szCs w:val="24"/>
        </w:rPr>
        <w:t xml:space="preserve">. </w:t>
      </w:r>
      <w:proofErr w:type="spellStart"/>
      <w:r w:rsidR="000D3AAB" w:rsidRPr="00F15C1A">
        <w:rPr>
          <w:rFonts w:ascii="Arial" w:eastAsia="Times New Roman" w:hAnsi="Arial" w:cs="Arial"/>
          <w:b/>
          <w:sz w:val="24"/>
          <w:szCs w:val="24"/>
        </w:rPr>
        <w:t>Paligsahan</w:t>
      </w:r>
      <w:proofErr w:type="spellEnd"/>
      <w:r w:rsidR="000D3AAB" w:rsidRPr="00F15C1A">
        <w:rPr>
          <w:rFonts w:ascii="Arial" w:eastAsia="Times New Roman" w:hAnsi="Arial" w:cs="Arial"/>
          <w:b/>
          <w:sz w:val="24"/>
          <w:szCs w:val="24"/>
        </w:rPr>
        <w:t>, Quezon City</w:t>
      </w:r>
      <w:r w:rsidR="00303420" w:rsidRPr="00F15C1A">
        <w:rPr>
          <w:rFonts w:ascii="Arial" w:hAnsi="Arial" w:cs="Arial"/>
          <w:bCs/>
          <w:sz w:val="24"/>
          <w:szCs w:val="24"/>
        </w:rPr>
        <w:t xml:space="preserve"> </w:t>
      </w:r>
      <w:r w:rsidRPr="00F15C1A">
        <w:rPr>
          <w:rFonts w:ascii="Arial" w:hAnsi="Arial" w:cs="Arial"/>
          <w:bCs/>
          <w:sz w:val="24"/>
          <w:szCs w:val="24"/>
        </w:rPr>
        <w:t xml:space="preserve">(see Table </w:t>
      </w:r>
      <w:r w:rsidR="000D3AAB" w:rsidRPr="00F15C1A">
        <w:rPr>
          <w:rFonts w:ascii="Arial" w:hAnsi="Arial" w:cs="Arial"/>
          <w:bCs/>
          <w:sz w:val="24"/>
          <w:szCs w:val="24"/>
        </w:rPr>
        <w:t>3</w:t>
      </w:r>
      <w:r w:rsidRPr="00F15C1A">
        <w:rPr>
          <w:rFonts w:ascii="Arial" w:hAnsi="Arial" w:cs="Arial"/>
          <w:bCs/>
          <w:sz w:val="24"/>
          <w:szCs w:val="24"/>
        </w:rPr>
        <w:t>).</w:t>
      </w:r>
    </w:p>
    <w:p w14:paraId="0E264668" w14:textId="77777777" w:rsidR="00406155" w:rsidRPr="003913C0" w:rsidRDefault="00406155" w:rsidP="00060770">
      <w:pPr>
        <w:pStyle w:val="NoSpacing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3FA03EB7" w:rsidR="00406155" w:rsidRPr="00FD2D65" w:rsidRDefault="000D3AAB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>
        <w:rPr>
          <w:rFonts w:ascii="Arial" w:hAnsi="Arial" w:cs="Arial"/>
          <w:b/>
          <w:i/>
          <w:iCs/>
          <w:sz w:val="20"/>
          <w:szCs w:val="20"/>
        </w:rPr>
        <w:t>Table 3</w:t>
      </w:r>
      <w:r w:rsidR="00406155" w:rsidRPr="00FD2D65">
        <w:rPr>
          <w:rFonts w:ascii="Arial" w:hAnsi="Arial" w:cs="Arial"/>
          <w:b/>
          <w:i/>
          <w:iCs/>
          <w:sz w:val="20"/>
          <w:szCs w:val="20"/>
        </w:rPr>
        <w:t>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6"/>
        <w:gridCol w:w="1256"/>
        <w:gridCol w:w="1256"/>
        <w:gridCol w:w="1256"/>
      </w:tblGrid>
      <w:tr w:rsidR="000D3AAB" w:rsidRPr="000D3AAB" w14:paraId="0CC0D846" w14:textId="77777777" w:rsidTr="000D3AAB">
        <w:trPr>
          <w:trHeight w:val="20"/>
        </w:trPr>
        <w:tc>
          <w:tcPr>
            <w:tcW w:w="2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F5C44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365AF" w14:textId="191B4E86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0D3AAB" w:rsidRPr="000D3AAB" w14:paraId="4EDB2EB2" w14:textId="77777777" w:rsidTr="000D3AAB">
        <w:trPr>
          <w:trHeight w:val="20"/>
        </w:trPr>
        <w:tc>
          <w:tcPr>
            <w:tcW w:w="2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9BAD1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0C315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8F0B2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B69E13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0D3AAB" w:rsidRPr="000D3AAB" w14:paraId="2822F2C6" w14:textId="77777777" w:rsidTr="000D3AAB">
        <w:trPr>
          <w:trHeight w:val="20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CC177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6A6AE" w14:textId="3953F31F" w:rsidR="000D3AAB" w:rsidRPr="000D3AAB" w:rsidRDefault="000D3AAB" w:rsidP="001B26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2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540BF" w14:textId="5FD17305" w:rsidR="000D3AAB" w:rsidRPr="000D3AAB" w:rsidRDefault="000D3AAB" w:rsidP="001B26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2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91A992" w14:textId="00D78BE8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3AAB" w:rsidRPr="000D3AAB" w14:paraId="5CBE5EA0" w14:textId="77777777" w:rsidTr="000D3AAB">
        <w:trPr>
          <w:trHeight w:val="20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C85A43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BAF5B" w14:textId="084778C5" w:rsidR="000D3AAB" w:rsidRPr="000D3AAB" w:rsidRDefault="000D3AAB" w:rsidP="001B26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2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C308EE" w14:textId="73D88DB3" w:rsidR="000D3AAB" w:rsidRPr="000D3AAB" w:rsidRDefault="000D3AAB" w:rsidP="001B26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2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A6840" w14:textId="061A9178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3AAB" w:rsidRPr="000D3AAB" w14:paraId="4029834C" w14:textId="77777777" w:rsidTr="000D3AAB">
        <w:trPr>
          <w:trHeight w:val="20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1183D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4B9627" w14:textId="5D600FD2" w:rsidR="000D3AAB" w:rsidRPr="000D3AAB" w:rsidRDefault="000D3AAB" w:rsidP="001B26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2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C46A2" w14:textId="0D4794FC" w:rsidR="000D3AAB" w:rsidRPr="000D3AAB" w:rsidRDefault="000D3AAB" w:rsidP="001B264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264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</w:t>
            </w: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BEA76B" w14:textId="508D0E69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D3AAB" w:rsidRPr="000D3AAB" w14:paraId="00137A81" w14:textId="77777777" w:rsidTr="000D3AAB">
        <w:trPr>
          <w:trHeight w:val="20"/>
        </w:trPr>
        <w:tc>
          <w:tcPr>
            <w:tcW w:w="2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9EC2C5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 City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A2AFF8" w14:textId="6CEB8E69" w:rsidR="000D3AAB" w:rsidRPr="00A87057" w:rsidRDefault="001B2646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87057">
              <w:rPr>
                <w:rFonts w:ascii="Arial" w:hAnsi="Arial" w:cs="Arial"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45A3F9" w14:textId="55B71B47" w:rsidR="000D3AAB" w:rsidRPr="00A87057" w:rsidRDefault="001B2646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87057">
              <w:rPr>
                <w:rFonts w:ascii="Arial" w:hAnsi="Arial" w:cs="Arial"/>
                <w:i/>
                <w:color w:val="000000"/>
                <w:sz w:val="20"/>
                <w:szCs w:val="20"/>
              </w:rPr>
              <w:t>47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049FE" w14:textId="77777777" w:rsidR="000D3AAB" w:rsidRPr="000D3AAB" w:rsidRDefault="000D3AAB" w:rsidP="000D3AA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AAB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</w:tr>
    </w:tbl>
    <w:p w14:paraId="44EEFAF7" w14:textId="54EADEB4" w:rsidR="001B2646" w:rsidRPr="00500D23" w:rsidRDefault="001B2646" w:rsidP="001B2646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40615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Pr="00E2239F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The decrease in the number of </w:t>
      </w:r>
      <w:r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totally damaged houses</w:t>
      </w:r>
      <w:r w:rsidRPr="00E2239F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 is due to the final validation conducted by the Quezon City Social Services and Development Department submitted to DSWD Field Office NCR;</w:t>
      </w:r>
    </w:p>
    <w:p w14:paraId="62A68890" w14:textId="193943E9" w:rsidR="00406155" w:rsidRDefault="00406155" w:rsidP="00406155">
      <w:pPr>
        <w:spacing w:after="0" w:line="240" w:lineRule="auto"/>
        <w:ind w:left="426" w:hanging="1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</w:p>
    <w:p w14:paraId="29D1F639" w14:textId="5838261B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0D3AAB">
        <w:rPr>
          <w:rFonts w:ascii="Arial" w:hAnsi="Arial" w:cs="Arial"/>
          <w:bCs/>
          <w:i/>
          <w:color w:val="0070C0"/>
          <w:sz w:val="16"/>
          <w:szCs w:val="16"/>
        </w:rPr>
        <w:t>NCR</w:t>
      </w:r>
    </w:p>
    <w:p w14:paraId="2D85975D" w14:textId="6B7384B1" w:rsidR="00796923" w:rsidRDefault="00796923" w:rsidP="000D3AAB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0"/>
          <w:lang w:eastAsia="en-PH"/>
        </w:rPr>
      </w:pPr>
    </w:p>
    <w:p w14:paraId="49B678B4" w14:textId="2FB68EE2" w:rsidR="00AA35D8" w:rsidRDefault="00AA35D8" w:rsidP="000D3AAB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0"/>
          <w:lang w:eastAsia="en-PH"/>
        </w:rPr>
      </w:pPr>
    </w:p>
    <w:p w14:paraId="09943AC3" w14:textId="77777777" w:rsidR="00AA35D8" w:rsidRDefault="00AA35D8" w:rsidP="000D3AAB">
      <w:pPr>
        <w:spacing w:after="0" w:line="240" w:lineRule="auto"/>
        <w:jc w:val="both"/>
        <w:rPr>
          <w:rFonts w:ascii="Arial" w:eastAsia="Arial" w:hAnsi="Arial" w:cs="Arial"/>
          <w:i/>
          <w:color w:val="0070C0"/>
          <w:sz w:val="16"/>
          <w:szCs w:val="20"/>
          <w:lang w:eastAsia="en-PH"/>
        </w:rPr>
      </w:pPr>
    </w:p>
    <w:p w14:paraId="6B91471B" w14:textId="77777777" w:rsidR="00AA35D8" w:rsidRPr="003913C0" w:rsidRDefault="00AA35D8" w:rsidP="00AA35D8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Cost of Humanitarian Assistance Provided</w:t>
      </w:r>
    </w:p>
    <w:p w14:paraId="3F61B824" w14:textId="13CADE24" w:rsidR="00AA35D8" w:rsidRPr="00F15C1A" w:rsidRDefault="00AA35D8" w:rsidP="00AA35D8">
      <w:pPr>
        <w:pStyle w:val="NoSpacing"/>
        <w:ind w:left="450"/>
        <w:contextualSpacing/>
        <w:jc w:val="both"/>
        <w:rPr>
          <w:rFonts w:ascii="Arial" w:hAnsi="Arial" w:cs="Arial"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</w:t>
      </w:r>
      <w:r w:rsidRPr="00815840">
        <w:rPr>
          <w:rFonts w:ascii="Arial" w:hAnsi="Arial" w:cs="Arial"/>
          <w:bCs/>
          <w:sz w:val="24"/>
          <w:szCs w:val="24"/>
        </w:rPr>
        <w:t xml:space="preserve">total of </w:t>
      </w:r>
      <w:r w:rsidRPr="00F15C1A">
        <w:rPr>
          <w:rFonts w:ascii="Arial" w:hAnsi="Arial" w:cs="Arial"/>
          <w:b/>
          <w:color w:val="0070C0"/>
          <w:sz w:val="24"/>
          <w:szCs w:val="24"/>
        </w:rPr>
        <w:t>₱</w:t>
      </w:r>
      <w:r w:rsidR="00F15C1A" w:rsidRPr="00F15C1A">
        <w:rPr>
          <w:rFonts w:ascii="Arial" w:hAnsi="Arial" w:cs="Arial"/>
          <w:b/>
          <w:bCs/>
          <w:color w:val="0070C0"/>
          <w:sz w:val="24"/>
          <w:szCs w:val="24"/>
        </w:rPr>
        <w:t>1,348,230.20</w:t>
      </w:r>
      <w:r w:rsidRPr="00F15C1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815840">
        <w:rPr>
          <w:rFonts w:ascii="Arial" w:hAnsi="Arial" w:cs="Arial"/>
          <w:bCs/>
          <w:sz w:val="24"/>
          <w:szCs w:val="24"/>
        </w:rPr>
        <w:t xml:space="preserve">worth of assistance was provided </w:t>
      </w:r>
      <w:r w:rsidR="00F15C1A">
        <w:rPr>
          <w:rFonts w:ascii="Arial" w:hAnsi="Arial" w:cs="Arial"/>
          <w:bCs/>
          <w:sz w:val="24"/>
          <w:szCs w:val="24"/>
        </w:rPr>
        <w:t xml:space="preserve">to the affected families; of which, </w:t>
      </w:r>
      <w:r w:rsidR="00F15C1A" w:rsidRPr="00F15C1A">
        <w:rPr>
          <w:rFonts w:ascii="Arial" w:hAnsi="Arial" w:cs="Arial"/>
          <w:b/>
          <w:color w:val="0070C0"/>
          <w:sz w:val="24"/>
          <w:szCs w:val="24"/>
        </w:rPr>
        <w:t>₱</w:t>
      </w:r>
      <w:r w:rsidR="00F15C1A" w:rsidRPr="00F15C1A">
        <w:rPr>
          <w:rFonts w:ascii="Arial" w:hAnsi="Arial" w:cs="Arial"/>
          <w:b/>
          <w:bCs/>
          <w:color w:val="0070C0"/>
          <w:sz w:val="24"/>
          <w:szCs w:val="24"/>
        </w:rPr>
        <w:t>128,230.20</w:t>
      </w:r>
      <w:r w:rsidR="00F15C1A" w:rsidRPr="00F15C1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15C1A" w:rsidRPr="00F15C1A">
        <w:rPr>
          <w:rFonts w:ascii="Arial" w:hAnsi="Arial" w:cs="Arial"/>
          <w:bCs/>
          <w:sz w:val="24"/>
          <w:szCs w:val="24"/>
        </w:rPr>
        <w:t>was provided</w:t>
      </w:r>
      <w:r w:rsidR="00F15C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815840">
        <w:rPr>
          <w:rFonts w:ascii="Arial" w:hAnsi="Arial" w:cs="Arial"/>
          <w:bCs/>
          <w:sz w:val="24"/>
          <w:szCs w:val="24"/>
        </w:rPr>
        <w:t xml:space="preserve">by </w:t>
      </w:r>
      <w:r w:rsidRPr="00F15C1A">
        <w:rPr>
          <w:rFonts w:ascii="Arial" w:hAnsi="Arial" w:cs="Arial"/>
          <w:b/>
          <w:bCs/>
          <w:color w:val="0070C0"/>
          <w:sz w:val="24"/>
          <w:szCs w:val="24"/>
        </w:rPr>
        <w:t xml:space="preserve">DSWD </w:t>
      </w:r>
      <w:r w:rsidR="00F15C1A" w:rsidRPr="00F15C1A">
        <w:rPr>
          <w:rFonts w:ascii="Arial" w:hAnsi="Arial" w:cs="Arial"/>
          <w:bCs/>
          <w:sz w:val="24"/>
          <w:szCs w:val="24"/>
        </w:rPr>
        <w:t>and</w:t>
      </w:r>
      <w:r w:rsidR="00F15C1A" w:rsidRPr="00F15C1A">
        <w:rPr>
          <w:rFonts w:ascii="Arial" w:hAnsi="Arial" w:cs="Arial"/>
          <w:b/>
          <w:bCs/>
          <w:sz w:val="24"/>
          <w:szCs w:val="24"/>
        </w:rPr>
        <w:t xml:space="preserve"> </w:t>
      </w:r>
      <w:r w:rsidR="00F15C1A" w:rsidRPr="00F15C1A">
        <w:rPr>
          <w:rFonts w:ascii="Arial" w:hAnsi="Arial" w:cs="Arial"/>
          <w:b/>
          <w:color w:val="0070C0"/>
          <w:sz w:val="24"/>
          <w:szCs w:val="24"/>
        </w:rPr>
        <w:t>₱</w:t>
      </w:r>
      <w:r w:rsidR="00F15C1A">
        <w:rPr>
          <w:rFonts w:ascii="Arial" w:hAnsi="Arial" w:cs="Arial"/>
          <w:b/>
          <w:bCs/>
          <w:color w:val="0070C0"/>
          <w:sz w:val="24"/>
          <w:szCs w:val="24"/>
        </w:rPr>
        <w:t>1,220,000.00</w:t>
      </w:r>
      <w:r w:rsidR="00F15C1A" w:rsidRPr="00F15C1A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F15C1A" w:rsidRPr="00F15C1A">
        <w:rPr>
          <w:rFonts w:ascii="Arial" w:hAnsi="Arial" w:cs="Arial"/>
          <w:bCs/>
          <w:sz w:val="24"/>
          <w:szCs w:val="24"/>
        </w:rPr>
        <w:t xml:space="preserve">was provided by </w:t>
      </w:r>
      <w:r w:rsidR="00F15C1A" w:rsidRPr="00F15C1A">
        <w:rPr>
          <w:rFonts w:ascii="Arial" w:hAnsi="Arial" w:cs="Arial"/>
          <w:b/>
          <w:bCs/>
          <w:color w:val="0070C0"/>
          <w:sz w:val="24"/>
          <w:szCs w:val="24"/>
        </w:rPr>
        <w:t>the Local Government Unit (LGU)</w:t>
      </w:r>
      <w:r w:rsidR="00F15C1A" w:rsidRPr="00F15C1A">
        <w:rPr>
          <w:rFonts w:ascii="Arial" w:hAnsi="Arial" w:cs="Arial"/>
          <w:bCs/>
          <w:sz w:val="24"/>
          <w:szCs w:val="24"/>
        </w:rPr>
        <w:t xml:space="preserve"> </w:t>
      </w:r>
      <w:r w:rsidRPr="00F15C1A">
        <w:rPr>
          <w:rFonts w:ascii="Arial" w:hAnsi="Arial" w:cs="Arial"/>
          <w:bCs/>
          <w:sz w:val="24"/>
          <w:szCs w:val="24"/>
        </w:rPr>
        <w:t xml:space="preserve">(see Table </w:t>
      </w:r>
      <w:r w:rsidR="00F15C1A">
        <w:rPr>
          <w:rFonts w:ascii="Arial" w:hAnsi="Arial" w:cs="Arial"/>
          <w:bCs/>
          <w:sz w:val="24"/>
          <w:szCs w:val="24"/>
        </w:rPr>
        <w:t>4</w:t>
      </w:r>
      <w:r w:rsidRPr="00F15C1A">
        <w:rPr>
          <w:rFonts w:ascii="Arial" w:hAnsi="Arial" w:cs="Arial"/>
          <w:bCs/>
          <w:sz w:val="24"/>
          <w:szCs w:val="24"/>
        </w:rPr>
        <w:t>).</w:t>
      </w:r>
    </w:p>
    <w:p w14:paraId="22E2151F" w14:textId="77777777" w:rsidR="00AA35D8" w:rsidRPr="003913C0" w:rsidRDefault="00AA35D8" w:rsidP="00AA35D8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6510A25" w14:textId="51AC7F16" w:rsidR="00AA35D8" w:rsidRPr="00521B78" w:rsidRDefault="00AA35D8" w:rsidP="00AA35D8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F15C1A">
        <w:rPr>
          <w:rFonts w:ascii="Arial" w:hAnsi="Arial" w:cs="Arial"/>
          <w:b/>
          <w:i/>
          <w:iCs/>
          <w:sz w:val="20"/>
          <w:szCs w:val="20"/>
        </w:rPr>
        <w:t>4</w:t>
      </w:r>
      <w:r w:rsidRPr="00521B78">
        <w:rPr>
          <w:rFonts w:ascii="Arial" w:hAnsi="Arial" w:cs="Arial"/>
          <w:b/>
          <w:i/>
          <w:iCs/>
          <w:sz w:val="20"/>
          <w:szCs w:val="20"/>
        </w:rPr>
        <w:t>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1088"/>
        <w:gridCol w:w="1311"/>
        <w:gridCol w:w="805"/>
        <w:gridCol w:w="921"/>
        <w:gridCol w:w="1255"/>
      </w:tblGrid>
      <w:tr w:rsidR="00AA35D8" w:rsidRPr="00F06788" w14:paraId="4DED60B2" w14:textId="77777777" w:rsidTr="00C714C3">
        <w:trPr>
          <w:trHeight w:val="20"/>
        </w:trPr>
        <w:tc>
          <w:tcPr>
            <w:tcW w:w="22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FF1D02" w14:textId="77777777" w:rsidR="00AA35D8" w:rsidRPr="00F06788" w:rsidRDefault="00AA35D8" w:rsidP="00C714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8C153" w14:textId="77777777" w:rsidR="00AA35D8" w:rsidRPr="00F06788" w:rsidRDefault="00AA35D8" w:rsidP="00C714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AA35D8" w:rsidRPr="00F06788" w14:paraId="0D0D44B4" w14:textId="77777777" w:rsidTr="00C714C3">
        <w:trPr>
          <w:trHeight w:val="20"/>
        </w:trPr>
        <w:tc>
          <w:tcPr>
            <w:tcW w:w="22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37ACF" w14:textId="77777777" w:rsidR="00AA35D8" w:rsidRPr="00F06788" w:rsidRDefault="00AA35D8" w:rsidP="00C714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B317C" w14:textId="77777777" w:rsidR="00AA35D8" w:rsidRPr="00F06788" w:rsidRDefault="00AA35D8" w:rsidP="00C714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65D88" w14:textId="77777777" w:rsidR="00AA35D8" w:rsidRPr="00F06788" w:rsidRDefault="00AA35D8" w:rsidP="00C714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EEB12" w14:textId="77777777" w:rsidR="00AA35D8" w:rsidRPr="00F06788" w:rsidRDefault="00AA35D8" w:rsidP="00C714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CE204" w14:textId="7E74EAE6" w:rsidR="00AA35D8" w:rsidRPr="00F06788" w:rsidRDefault="00AA35D8" w:rsidP="00C714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76A14" w14:textId="77777777" w:rsidR="00AA35D8" w:rsidRPr="00F06788" w:rsidRDefault="00AA35D8" w:rsidP="00C714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24BE8" w:rsidRPr="00F06788" w14:paraId="405703C3" w14:textId="77777777" w:rsidTr="00C714C3">
        <w:trPr>
          <w:trHeight w:val="20"/>
        </w:trPr>
        <w:tc>
          <w:tcPr>
            <w:tcW w:w="221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17326" w14:textId="77777777" w:rsidR="00AA35D8" w:rsidRPr="00F06788" w:rsidRDefault="00AA35D8" w:rsidP="00C714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7B56C4" w14:textId="5A9BBE56" w:rsidR="00AA35D8" w:rsidRPr="00F06788" w:rsidRDefault="00F15C1A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128,230.20</w:t>
            </w:r>
            <w:r w:rsidR="00AA35D8"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C6E81" w14:textId="00525006" w:rsidR="00AA35D8" w:rsidRPr="00F06788" w:rsidRDefault="00F15C1A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1,220,000.00</w:t>
            </w:r>
            <w:r w:rsidR="00AA35D8"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E80169" w14:textId="77777777" w:rsidR="00AA35D8" w:rsidRPr="00F06788" w:rsidRDefault="00AA35D8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AFBF9" w14:textId="77777777" w:rsidR="00AA35D8" w:rsidRPr="00F06788" w:rsidRDefault="00AA35D8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16FB3" w14:textId="2B36250A" w:rsidR="00AA35D8" w:rsidRPr="00F06788" w:rsidRDefault="00124BE8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1,348,230.20</w:t>
            </w:r>
            <w:r w:rsidR="00AA35D8"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24BE8" w:rsidRPr="00F06788" w14:paraId="3637CC9E" w14:textId="77777777" w:rsidTr="00C714C3">
        <w:trPr>
          <w:trHeight w:val="20"/>
        </w:trPr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83298" w14:textId="77777777" w:rsidR="00AA35D8" w:rsidRPr="00F06788" w:rsidRDefault="00AA35D8" w:rsidP="00C714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F9DA7E" w14:textId="61F30BAC" w:rsidR="00AA35D8" w:rsidRPr="00F06788" w:rsidRDefault="00F15C1A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128,230.20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FF57C" w14:textId="6B1CE9E3" w:rsidR="00AA35D8" w:rsidRPr="00F06788" w:rsidRDefault="00F15C1A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1,220,000.00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B94421" w14:textId="77777777" w:rsidR="00AA35D8" w:rsidRPr="00F06788" w:rsidRDefault="00AA35D8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7774AA" w14:textId="77777777" w:rsidR="00AA35D8" w:rsidRPr="00F06788" w:rsidRDefault="00AA35D8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36CF4" w14:textId="2ABB66CD" w:rsidR="00AA35D8" w:rsidRPr="00F06788" w:rsidRDefault="00124BE8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1,348,230.20</w:t>
            </w:r>
          </w:p>
        </w:tc>
      </w:tr>
      <w:tr w:rsidR="00124BE8" w:rsidRPr="00F06788" w14:paraId="278B9C5B" w14:textId="77777777" w:rsidTr="00C714C3">
        <w:trPr>
          <w:trHeight w:val="20"/>
        </w:trPr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B1AC88" w14:textId="77777777" w:rsidR="00AA35D8" w:rsidRPr="00F06788" w:rsidRDefault="00AA35D8" w:rsidP="00C714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Metro Manila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49CCB" w14:textId="3C5ED46B" w:rsidR="00AA35D8" w:rsidRPr="00F06788" w:rsidRDefault="00F15C1A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128,230.20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700B35" w14:textId="3CC3BA1A" w:rsidR="00AA35D8" w:rsidRPr="00F06788" w:rsidRDefault="00F15C1A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1,220,000.00</w:t>
            </w: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A35D8"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AECF0" w14:textId="77777777" w:rsidR="00AA35D8" w:rsidRPr="00F06788" w:rsidRDefault="00AA35D8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07041" w14:textId="77777777" w:rsidR="00AA35D8" w:rsidRPr="00F06788" w:rsidRDefault="00AA35D8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0678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AF48E0" w14:textId="734B76FD" w:rsidR="00AA35D8" w:rsidRPr="00F06788" w:rsidRDefault="00124BE8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1,348,230.20</w:t>
            </w:r>
          </w:p>
        </w:tc>
      </w:tr>
      <w:tr w:rsidR="00AA35D8" w:rsidRPr="00F06788" w14:paraId="5AC9A289" w14:textId="77777777" w:rsidTr="00C714C3">
        <w:trPr>
          <w:trHeight w:val="20"/>
        </w:trPr>
        <w:tc>
          <w:tcPr>
            <w:tcW w:w="22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A26E0" w14:textId="61593E74" w:rsidR="00AA35D8" w:rsidRPr="00F06788" w:rsidRDefault="00DA10EA" w:rsidP="00C714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  <w:r w:rsidR="00AA35D8" w:rsidRPr="00F0678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B234B7" w14:textId="2BEFC97B" w:rsidR="00AA35D8" w:rsidRPr="00124BE8" w:rsidRDefault="00F15C1A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24B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128,230.20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9D4C6A" w14:textId="7F3D2E08" w:rsidR="00AA35D8" w:rsidRPr="00124BE8" w:rsidRDefault="00124BE8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24BE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Pr="00124B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1,220,000.00 </w:t>
            </w:r>
            <w:r w:rsidR="00AA35D8" w:rsidRPr="00124BE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89429E" w14:textId="77777777" w:rsidR="00AA35D8" w:rsidRPr="00124BE8" w:rsidRDefault="00AA35D8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24BE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D8583" w14:textId="77777777" w:rsidR="00AA35D8" w:rsidRPr="00124BE8" w:rsidRDefault="00AA35D8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24BE8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87AB75" w14:textId="5B35AEEA" w:rsidR="00AA35D8" w:rsidRPr="00124BE8" w:rsidRDefault="00124BE8" w:rsidP="00C714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124BE8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1,348,230.20</w:t>
            </w:r>
          </w:p>
        </w:tc>
      </w:tr>
    </w:tbl>
    <w:p w14:paraId="046D50D1" w14:textId="77777777" w:rsidR="00AA35D8" w:rsidRPr="009E0F29" w:rsidRDefault="00AA35D8" w:rsidP="00AA35D8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Source: DSWD-FO NCR</w:t>
      </w:r>
    </w:p>
    <w:p w14:paraId="424F1E49" w14:textId="286609D5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2AE4EA26" w14:textId="77777777" w:rsidR="00CD0E7D" w:rsidRPr="00D31D31" w:rsidRDefault="00CD0E7D" w:rsidP="00CD0E7D">
      <w:pPr>
        <w:spacing w:after="0" w:line="240" w:lineRule="auto"/>
        <w:contextualSpacing/>
        <w:jc w:val="both"/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</w:pP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This terminal report is based on the 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final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report submitted by DSWD-FO NCR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on 05 April 2022. The Disaster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Response Operations Monitoring and Information Center (DROMIC) of</w:t>
      </w:r>
      <w:r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DSWD-DRMB continues to closely </w:t>
      </w:r>
      <w:r w:rsidRPr="00D31D31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coordinate with DSWD-FO NCR for any request of Technical Assistance and Resource Augmentation (TARA).</w:t>
      </w:r>
    </w:p>
    <w:p w14:paraId="0D9BCF75" w14:textId="697E3740" w:rsidR="00965AB1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p w14:paraId="2A1A8A36" w14:textId="77777777" w:rsidR="00AA7107" w:rsidRPr="000F7EC7" w:rsidRDefault="00AA7107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A5F2C6E" w:rsidR="00417F91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387684" w14:textId="77777777" w:rsidR="00AA7107" w:rsidRPr="00AD3032" w:rsidRDefault="00AA7107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C209423" w14:textId="7FBF3887" w:rsidR="001149B4" w:rsidRDefault="00E01629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3D5AE71D" w14:textId="4DB88789" w:rsidR="00417F91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B34833D" w14:textId="77777777" w:rsidR="00AA7107" w:rsidRPr="00AD3032" w:rsidRDefault="00AA7107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43962" w14:textId="77777777" w:rsidR="001C60A2" w:rsidRDefault="001C60A2" w:rsidP="00C12445">
      <w:pPr>
        <w:spacing w:after="0" w:line="240" w:lineRule="auto"/>
      </w:pPr>
      <w:r>
        <w:separator/>
      </w:r>
    </w:p>
  </w:endnote>
  <w:endnote w:type="continuationSeparator" w:id="0">
    <w:p w14:paraId="36554FFA" w14:textId="77777777" w:rsidR="001C60A2" w:rsidRDefault="001C60A2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351CDCE" w:rsidR="00406155" w:rsidRPr="00195A09" w:rsidRDefault="00E01629" w:rsidP="00E53118">
            <w:pPr>
              <w:pStyle w:val="Footer"/>
              <w:jc w:val="right"/>
              <w:rPr>
                <w:sz w:val="16"/>
                <w:szCs w:val="20"/>
              </w:rPr>
            </w:pPr>
            <w:r w:rsidRPr="00E01629">
              <w:rPr>
                <w:sz w:val="16"/>
                <w:szCs w:val="20"/>
              </w:rPr>
              <w:t xml:space="preserve">DSWD DROMIC Terminal Report on the Fire Incident in </w:t>
            </w:r>
            <w:proofErr w:type="spellStart"/>
            <w:r w:rsidRPr="00E01629">
              <w:rPr>
                <w:sz w:val="16"/>
                <w:szCs w:val="20"/>
              </w:rPr>
              <w:t>Brgy</w:t>
            </w:r>
            <w:proofErr w:type="spellEnd"/>
            <w:r w:rsidRPr="00E01629">
              <w:rPr>
                <w:sz w:val="16"/>
                <w:szCs w:val="20"/>
              </w:rPr>
              <w:t xml:space="preserve">. </w:t>
            </w:r>
            <w:proofErr w:type="spellStart"/>
            <w:r w:rsidRPr="00E01629">
              <w:rPr>
                <w:sz w:val="16"/>
                <w:szCs w:val="20"/>
              </w:rPr>
              <w:t>Paligsahan</w:t>
            </w:r>
            <w:proofErr w:type="spellEnd"/>
            <w:r w:rsidRPr="00E01629">
              <w:rPr>
                <w:sz w:val="16"/>
                <w:szCs w:val="20"/>
              </w:rPr>
              <w:t>, Quezon City, 10 April 2022, 6PM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A7107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AA7107">
              <w:rPr>
                <w:b/>
                <w:bCs/>
                <w:noProof/>
                <w:sz w:val="16"/>
                <w:szCs w:val="20"/>
              </w:rPr>
              <w:t>2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66C3E" w14:textId="77777777" w:rsidR="001C60A2" w:rsidRDefault="001C60A2" w:rsidP="00C12445">
      <w:pPr>
        <w:spacing w:after="0" w:line="240" w:lineRule="auto"/>
      </w:pPr>
      <w:r>
        <w:separator/>
      </w:r>
    </w:p>
  </w:footnote>
  <w:footnote w:type="continuationSeparator" w:id="0">
    <w:p w14:paraId="410DC1B3" w14:textId="77777777" w:rsidR="001C60A2" w:rsidRDefault="001C60A2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5F36"/>
    <w:rsid w:val="000274A8"/>
    <w:rsid w:val="00031E41"/>
    <w:rsid w:val="00033A94"/>
    <w:rsid w:val="0003788C"/>
    <w:rsid w:val="00041684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0770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60A0"/>
    <w:rsid w:val="000C1BA7"/>
    <w:rsid w:val="000C2682"/>
    <w:rsid w:val="000C26FA"/>
    <w:rsid w:val="000C3F72"/>
    <w:rsid w:val="000C479D"/>
    <w:rsid w:val="000C753A"/>
    <w:rsid w:val="000C7F20"/>
    <w:rsid w:val="000D3AAB"/>
    <w:rsid w:val="000D4390"/>
    <w:rsid w:val="000E5359"/>
    <w:rsid w:val="000E6E79"/>
    <w:rsid w:val="000E7EC3"/>
    <w:rsid w:val="000F2689"/>
    <w:rsid w:val="000F370D"/>
    <w:rsid w:val="000F490A"/>
    <w:rsid w:val="000F6C7B"/>
    <w:rsid w:val="000F7EC7"/>
    <w:rsid w:val="00103E71"/>
    <w:rsid w:val="00105454"/>
    <w:rsid w:val="00112655"/>
    <w:rsid w:val="00112FC8"/>
    <w:rsid w:val="001149B4"/>
    <w:rsid w:val="00124BE8"/>
    <w:rsid w:val="00125549"/>
    <w:rsid w:val="00132EC3"/>
    <w:rsid w:val="00141816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42B0"/>
    <w:rsid w:val="00195411"/>
    <w:rsid w:val="00195A09"/>
    <w:rsid w:val="00197CAB"/>
    <w:rsid w:val="001A00F7"/>
    <w:rsid w:val="001A2814"/>
    <w:rsid w:val="001A3970"/>
    <w:rsid w:val="001B2646"/>
    <w:rsid w:val="001C25B5"/>
    <w:rsid w:val="001C4FBC"/>
    <w:rsid w:val="001C60A2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DB4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4E02"/>
    <w:rsid w:val="002552BB"/>
    <w:rsid w:val="0025669B"/>
    <w:rsid w:val="00261A8B"/>
    <w:rsid w:val="002626FE"/>
    <w:rsid w:val="002627B9"/>
    <w:rsid w:val="00262861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62F8"/>
    <w:rsid w:val="002E760C"/>
    <w:rsid w:val="002F5F75"/>
    <w:rsid w:val="002F6987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6A63"/>
    <w:rsid w:val="00347126"/>
    <w:rsid w:val="00347A41"/>
    <w:rsid w:val="0035588C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E3D36"/>
    <w:rsid w:val="003E57B2"/>
    <w:rsid w:val="003E7D52"/>
    <w:rsid w:val="003F1BF2"/>
    <w:rsid w:val="003F48F0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4410"/>
    <w:rsid w:val="0045505D"/>
    <w:rsid w:val="00456A71"/>
    <w:rsid w:val="004575DE"/>
    <w:rsid w:val="00460BAF"/>
    <w:rsid w:val="00460DA8"/>
    <w:rsid w:val="00467F4D"/>
    <w:rsid w:val="00473A05"/>
    <w:rsid w:val="00483191"/>
    <w:rsid w:val="00485021"/>
    <w:rsid w:val="00486E0B"/>
    <w:rsid w:val="004926B5"/>
    <w:rsid w:val="004A0CAD"/>
    <w:rsid w:val="004A633D"/>
    <w:rsid w:val="004A792D"/>
    <w:rsid w:val="004A7FDA"/>
    <w:rsid w:val="004B1A4F"/>
    <w:rsid w:val="004B3DF9"/>
    <w:rsid w:val="004C0104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2726F"/>
    <w:rsid w:val="00532359"/>
    <w:rsid w:val="0053242B"/>
    <w:rsid w:val="00532D4A"/>
    <w:rsid w:val="005338C8"/>
    <w:rsid w:val="005439D2"/>
    <w:rsid w:val="005454C8"/>
    <w:rsid w:val="005478B1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058B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7FDC"/>
    <w:rsid w:val="00A63865"/>
    <w:rsid w:val="00A64291"/>
    <w:rsid w:val="00A72703"/>
    <w:rsid w:val="00A7456D"/>
    <w:rsid w:val="00A8572E"/>
    <w:rsid w:val="00A87057"/>
    <w:rsid w:val="00A87137"/>
    <w:rsid w:val="00A9338A"/>
    <w:rsid w:val="00A97774"/>
    <w:rsid w:val="00AA0707"/>
    <w:rsid w:val="00AA35D8"/>
    <w:rsid w:val="00AA7107"/>
    <w:rsid w:val="00AB1B7A"/>
    <w:rsid w:val="00AB21D3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57E0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0E7D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6052E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10EA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1629"/>
    <w:rsid w:val="00E07FCA"/>
    <w:rsid w:val="00E11797"/>
    <w:rsid w:val="00E12869"/>
    <w:rsid w:val="00E13D54"/>
    <w:rsid w:val="00E14469"/>
    <w:rsid w:val="00E177D7"/>
    <w:rsid w:val="00E21041"/>
    <w:rsid w:val="00E2239F"/>
    <w:rsid w:val="00E233F1"/>
    <w:rsid w:val="00E26E07"/>
    <w:rsid w:val="00E368E4"/>
    <w:rsid w:val="00E42E8B"/>
    <w:rsid w:val="00E43204"/>
    <w:rsid w:val="00E45DBE"/>
    <w:rsid w:val="00E47334"/>
    <w:rsid w:val="00E525DD"/>
    <w:rsid w:val="00E53118"/>
    <w:rsid w:val="00E57E28"/>
    <w:rsid w:val="00E60B47"/>
    <w:rsid w:val="00E80CAC"/>
    <w:rsid w:val="00E81504"/>
    <w:rsid w:val="00E81807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32E2"/>
    <w:rsid w:val="00EF6A24"/>
    <w:rsid w:val="00F027C7"/>
    <w:rsid w:val="00F0317A"/>
    <w:rsid w:val="00F1073E"/>
    <w:rsid w:val="00F137C7"/>
    <w:rsid w:val="00F15C1A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0381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6839"/>
    <w:rsid w:val="00FD6F79"/>
    <w:rsid w:val="00FE0037"/>
    <w:rsid w:val="00FE645A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C7F8F-DBCC-4987-899A-8E50882FE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Camille R. Jacinto</cp:lastModifiedBy>
  <cp:revision>97</cp:revision>
  <cp:lastPrinted>2021-07-05T02:11:00Z</cp:lastPrinted>
  <dcterms:created xsi:type="dcterms:W3CDTF">2021-12-11T07:19:00Z</dcterms:created>
  <dcterms:modified xsi:type="dcterms:W3CDTF">2022-04-08T03:23:00Z</dcterms:modified>
</cp:coreProperties>
</file>