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B8570" w14:textId="295694C6" w:rsidR="0020529A" w:rsidRDefault="006F3BB4">
      <w:pPr>
        <w:pBdr>
          <w:top w:val="nil"/>
          <w:left w:val="nil"/>
          <w:bottom w:val="nil"/>
          <w:right w:val="nil"/>
          <w:between w:val="nil"/>
        </w:pBdr>
        <w:spacing w:after="0" w:line="240" w:lineRule="auto"/>
        <w:jc w:val="center"/>
        <w:rPr>
          <w:rFonts w:ascii="Arial" w:eastAsia="Arial" w:hAnsi="Arial" w:cs="Arial"/>
          <w:b/>
          <w:sz w:val="32"/>
          <w:szCs w:val="32"/>
        </w:rPr>
      </w:pPr>
      <w:bookmarkStart w:id="0" w:name="_heading=h.gjdgxs" w:colFirst="0" w:colLast="0"/>
      <w:bookmarkEnd w:id="0"/>
      <w:r>
        <w:rPr>
          <w:rFonts w:ascii="Arial" w:eastAsia="Arial" w:hAnsi="Arial" w:cs="Arial"/>
          <w:b/>
          <w:sz w:val="32"/>
          <w:szCs w:val="32"/>
        </w:rPr>
        <w:t>DSWD DROMIC Pre</w:t>
      </w:r>
      <w:r w:rsidR="00A7210D">
        <w:rPr>
          <w:rFonts w:ascii="Arial" w:eastAsia="Arial" w:hAnsi="Arial" w:cs="Arial"/>
          <w:b/>
          <w:sz w:val="32"/>
          <w:szCs w:val="32"/>
        </w:rPr>
        <w:t>p</w:t>
      </w:r>
      <w:r w:rsidR="00AE05FE">
        <w:rPr>
          <w:rFonts w:ascii="Arial" w:eastAsia="Arial" w:hAnsi="Arial" w:cs="Arial"/>
          <w:b/>
          <w:sz w:val="32"/>
          <w:szCs w:val="32"/>
        </w:rPr>
        <w:t>aredness for Response Report #4</w:t>
      </w:r>
      <w:r w:rsidR="004F3D7C">
        <w:rPr>
          <w:rFonts w:ascii="Arial" w:eastAsia="Arial" w:hAnsi="Arial" w:cs="Arial"/>
          <w:b/>
          <w:sz w:val="32"/>
          <w:szCs w:val="32"/>
        </w:rPr>
        <w:t>6</w:t>
      </w:r>
      <w:r>
        <w:rPr>
          <w:rFonts w:ascii="Arial" w:eastAsia="Arial" w:hAnsi="Arial" w:cs="Arial"/>
          <w:b/>
          <w:sz w:val="32"/>
          <w:szCs w:val="32"/>
        </w:rPr>
        <w:t xml:space="preserve"> on the </w:t>
      </w:r>
    </w:p>
    <w:p w14:paraId="686B16BE" w14:textId="77777777" w:rsidR="0020529A" w:rsidRDefault="006F3BB4">
      <w:pPr>
        <w:pBdr>
          <w:top w:val="nil"/>
          <w:left w:val="nil"/>
          <w:bottom w:val="nil"/>
          <w:right w:val="nil"/>
          <w:between w:val="nil"/>
        </w:pBdr>
        <w:spacing w:after="0" w:line="240" w:lineRule="auto"/>
        <w:jc w:val="center"/>
        <w:rPr>
          <w:rFonts w:ascii="Arial" w:eastAsia="Arial" w:hAnsi="Arial" w:cs="Arial"/>
          <w:b/>
          <w:sz w:val="32"/>
          <w:szCs w:val="32"/>
        </w:rPr>
      </w:pPr>
      <w:r>
        <w:rPr>
          <w:rFonts w:ascii="Arial" w:eastAsia="Arial" w:hAnsi="Arial" w:cs="Arial"/>
          <w:b/>
          <w:sz w:val="32"/>
          <w:szCs w:val="32"/>
        </w:rPr>
        <w:t>Kanlaon Volcano Seismic Activity</w:t>
      </w:r>
    </w:p>
    <w:p w14:paraId="6F545701" w14:textId="3A9678D1" w:rsidR="0020529A" w:rsidRDefault="008C747C">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sz w:val="24"/>
          <w:szCs w:val="24"/>
        </w:rPr>
        <w:t>as of 0</w:t>
      </w:r>
      <w:r w:rsidR="004F3D7C">
        <w:rPr>
          <w:rFonts w:ascii="Arial" w:eastAsia="Arial" w:hAnsi="Arial" w:cs="Arial"/>
          <w:sz w:val="24"/>
          <w:szCs w:val="24"/>
        </w:rPr>
        <w:t>7</w:t>
      </w:r>
      <w:r>
        <w:rPr>
          <w:rFonts w:ascii="Arial" w:eastAsia="Arial" w:hAnsi="Arial" w:cs="Arial"/>
          <w:sz w:val="24"/>
          <w:szCs w:val="24"/>
        </w:rPr>
        <w:t xml:space="preserve"> August </w:t>
      </w:r>
      <w:r w:rsidR="006F3BB4">
        <w:rPr>
          <w:rFonts w:ascii="Arial" w:eastAsia="Arial" w:hAnsi="Arial" w:cs="Arial"/>
          <w:sz w:val="24"/>
          <w:szCs w:val="24"/>
        </w:rPr>
        <w:t>2022, 6AM</w:t>
      </w:r>
    </w:p>
    <w:p w14:paraId="119AB55B" w14:textId="77777777" w:rsidR="0020529A" w:rsidRDefault="0020529A">
      <w:pPr>
        <w:pBdr>
          <w:top w:val="nil"/>
          <w:left w:val="nil"/>
          <w:bottom w:val="nil"/>
          <w:right w:val="nil"/>
          <w:between w:val="nil"/>
        </w:pBdr>
        <w:spacing w:after="0" w:line="240" w:lineRule="auto"/>
        <w:rPr>
          <w:rFonts w:ascii="Arial" w:eastAsia="Arial" w:hAnsi="Arial" w:cs="Arial"/>
          <w:b/>
          <w:color w:val="222222"/>
          <w:sz w:val="24"/>
          <w:szCs w:val="24"/>
        </w:rPr>
      </w:pPr>
    </w:p>
    <w:p w14:paraId="772C1E6D" w14:textId="77777777" w:rsidR="0020529A" w:rsidRDefault="0020529A">
      <w:pPr>
        <w:pBdr>
          <w:top w:val="nil"/>
          <w:left w:val="nil"/>
          <w:bottom w:val="nil"/>
          <w:right w:val="nil"/>
          <w:between w:val="nil"/>
        </w:pBdr>
        <w:spacing w:after="0" w:line="240" w:lineRule="auto"/>
        <w:rPr>
          <w:rFonts w:ascii="Arial" w:eastAsia="Arial" w:hAnsi="Arial" w:cs="Arial"/>
          <w:b/>
          <w:color w:val="222222"/>
          <w:sz w:val="24"/>
          <w:szCs w:val="24"/>
        </w:rPr>
      </w:pPr>
    </w:p>
    <w:p w14:paraId="7298288A" w14:textId="77777777"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Brief Background on Kanlaon Volcano</w:t>
      </w:r>
    </w:p>
    <w:p w14:paraId="52583A88" w14:textId="77777777" w:rsidR="0020529A" w:rsidRDefault="0020529A">
      <w:pPr>
        <w:pBdr>
          <w:top w:val="nil"/>
          <w:left w:val="nil"/>
          <w:bottom w:val="nil"/>
          <w:right w:val="nil"/>
          <w:between w:val="nil"/>
        </w:pBdr>
        <w:spacing w:after="0" w:line="240" w:lineRule="auto"/>
        <w:ind w:left="720"/>
        <w:jc w:val="both"/>
        <w:rPr>
          <w:rFonts w:ascii="Arial" w:eastAsia="Arial" w:hAnsi="Arial" w:cs="Arial"/>
          <w:b/>
          <w:color w:val="222222"/>
          <w:sz w:val="24"/>
          <w:szCs w:val="24"/>
        </w:rPr>
      </w:pPr>
    </w:p>
    <w:p w14:paraId="1DCA4BC0"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A stratovolcano (conical volcano built-up by many layers of hardened lava and tephra);</w:t>
      </w:r>
    </w:p>
    <w:p w14:paraId="74C8BE24" w14:textId="77777777" w:rsidR="0020529A" w:rsidRDefault="0020529A">
      <w:p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p>
    <w:p w14:paraId="54337086"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Mount Kanlaon also known as Kanlaon Volcano </w:t>
      </w:r>
      <w:r>
        <w:rPr>
          <w:rFonts w:ascii="Arial" w:eastAsia="Arial" w:hAnsi="Arial" w:cs="Arial"/>
          <w:color w:val="222222"/>
          <w:sz w:val="24"/>
          <w:szCs w:val="24"/>
        </w:rPr>
        <w:t>covers 24,557.60 hectares of land area with rainforests and verdant vegetation cutting through the political boundaries of cities of Bago, La Carlota, San Carlos, and Canlaon and the towns of Murcia and La Castellana within the park and having 169 hectares as Buffer Zone</w:t>
      </w:r>
      <w:r>
        <w:rPr>
          <w:rFonts w:ascii="Arial" w:eastAsia="Arial" w:hAnsi="Arial" w:cs="Arial"/>
          <w:color w:val="222222"/>
          <w:sz w:val="24"/>
          <w:szCs w:val="24"/>
          <w:highlight w:val="white"/>
        </w:rPr>
        <w:t xml:space="preserve">. </w:t>
      </w:r>
      <w:r>
        <w:rPr>
          <w:rFonts w:ascii="Arial" w:eastAsia="Arial" w:hAnsi="Arial" w:cs="Arial"/>
          <w:color w:val="222222"/>
          <w:sz w:val="24"/>
          <w:szCs w:val="24"/>
        </w:rPr>
        <w:t>Mt. Kanlaon is a complex and active volcano surrounded by several craters and volcanic peaks. Volcanic features in the area include the cinder cone of the active center and craters at the summit. It is underlain by tropical volcanic materials composed of sheeted lava flows, lahar deposits, airfall tephra and apron pyroclastic materials</w:t>
      </w:r>
      <w:r>
        <w:rPr>
          <w:rFonts w:ascii="Arial" w:eastAsia="Arial" w:hAnsi="Arial" w:cs="Arial"/>
          <w:color w:val="000000"/>
          <w:sz w:val="24"/>
          <w:szCs w:val="24"/>
          <w:highlight w:val="white"/>
          <w:vertAlign w:val="superscript"/>
        </w:rPr>
        <w:footnoteReference w:id="1"/>
      </w:r>
      <w:r>
        <w:rPr>
          <w:rFonts w:ascii="Arial" w:eastAsia="Arial" w:hAnsi="Arial" w:cs="Arial"/>
          <w:color w:val="222222"/>
          <w:sz w:val="24"/>
          <w:szCs w:val="24"/>
        </w:rPr>
        <w:t>;</w:t>
      </w:r>
      <w:r>
        <w:rPr>
          <w:rFonts w:ascii="Arial" w:eastAsia="Arial" w:hAnsi="Arial" w:cs="Arial"/>
          <w:color w:val="222222"/>
          <w:sz w:val="24"/>
          <w:szCs w:val="24"/>
          <w:highlight w:val="white"/>
        </w:rPr>
        <w:t xml:space="preserve"> </w:t>
      </w:r>
    </w:p>
    <w:p w14:paraId="5470B1D9" w14:textId="77777777" w:rsidR="0020529A" w:rsidRDefault="0020529A">
      <w:p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p>
    <w:p w14:paraId="0263C4A0"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rPr>
        <w:t>Its last eruption was reported on 20 December 2017 characterized by small volcanic earthquakes with moderate emissions of white steam-laden plumes that rose to 400 meters from the summit</w:t>
      </w:r>
      <w:bookmarkStart w:id="1" w:name="bookmark=id.30j0zll" w:colFirst="0" w:colLast="0"/>
      <w:bookmarkStart w:id="2" w:name="bookmark=id.gjdgxs" w:colFirst="0" w:colLast="0"/>
      <w:bookmarkEnd w:id="1"/>
      <w:bookmarkEnd w:id="2"/>
      <w:r>
        <w:rPr>
          <w:rFonts w:ascii="Arial" w:eastAsia="Arial" w:hAnsi="Arial" w:cs="Arial"/>
          <w:color w:val="000000"/>
          <w:sz w:val="24"/>
          <w:szCs w:val="24"/>
          <w:highlight w:val="white"/>
          <w:vertAlign w:val="superscript"/>
        </w:rPr>
        <w:footnoteReference w:id="2"/>
      </w:r>
      <w:r>
        <w:rPr>
          <w:rFonts w:ascii="Arial" w:eastAsia="Arial" w:hAnsi="Arial" w:cs="Arial"/>
          <w:color w:val="222222"/>
          <w:sz w:val="24"/>
          <w:szCs w:val="24"/>
        </w:rPr>
        <w:t xml:space="preserve">; and, </w:t>
      </w:r>
    </w:p>
    <w:p w14:paraId="487AEC17" w14:textId="77777777" w:rsidR="0020529A" w:rsidRDefault="0020529A">
      <w:pPr>
        <w:pBdr>
          <w:top w:val="nil"/>
          <w:left w:val="nil"/>
          <w:bottom w:val="nil"/>
          <w:right w:val="nil"/>
          <w:between w:val="nil"/>
        </w:pBdr>
        <w:spacing w:after="0" w:line="240" w:lineRule="auto"/>
        <w:ind w:left="900"/>
        <w:rPr>
          <w:rFonts w:ascii="Arial" w:eastAsia="Arial" w:hAnsi="Arial" w:cs="Arial"/>
          <w:color w:val="222222"/>
          <w:sz w:val="24"/>
          <w:szCs w:val="24"/>
        </w:rPr>
      </w:pPr>
    </w:p>
    <w:p w14:paraId="2EC01084"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rPr>
        <w:t>Areas under the four (4) - kilometer permanent danger zones are 13 barangays of Canlaon City (Lumapao, Malaiba, Masulog and Pula), La Castellana (Biaknabato, Cabagnaan, Mansalanao, and Sag-Ang),</w:t>
      </w:r>
      <w:r>
        <w:rPr>
          <w:rFonts w:ascii="Arial" w:eastAsia="Arial" w:hAnsi="Arial" w:cs="Arial"/>
          <w:color w:val="222222"/>
          <w:sz w:val="24"/>
          <w:szCs w:val="24"/>
          <w:highlight w:val="white"/>
          <w:vertAlign w:val="superscript"/>
        </w:rPr>
        <w:t xml:space="preserve"> </w:t>
      </w:r>
      <w:r>
        <w:rPr>
          <w:rFonts w:ascii="Arial" w:eastAsia="Arial" w:hAnsi="Arial" w:cs="Arial"/>
          <w:color w:val="222222"/>
          <w:sz w:val="24"/>
          <w:szCs w:val="24"/>
        </w:rPr>
        <w:t>La Carlota City (Ara-al and Yubo), Bago City (Ilijan and Mailum), and San Carlos City with a combined population count of 76,656. A massive eruption may directly affect a total of 528,838</w:t>
      </w:r>
      <w:r>
        <w:rPr>
          <w:rFonts w:ascii="Arial" w:eastAsia="Arial" w:hAnsi="Arial" w:cs="Arial"/>
          <w:color w:val="000000"/>
          <w:sz w:val="24"/>
          <w:szCs w:val="24"/>
          <w:highlight w:val="white"/>
          <w:vertAlign w:val="superscript"/>
        </w:rPr>
        <w:footnoteReference w:id="3"/>
      </w:r>
      <w:r>
        <w:rPr>
          <w:rFonts w:ascii="Arial" w:eastAsia="Arial" w:hAnsi="Arial" w:cs="Arial"/>
          <w:color w:val="222222"/>
          <w:sz w:val="24"/>
          <w:szCs w:val="24"/>
        </w:rPr>
        <w:t xml:space="preserve"> persons covering all barangays of the said one (1) municipality and four (4) cities. </w:t>
      </w:r>
    </w:p>
    <w:p w14:paraId="3BF0484B" w14:textId="192D58F2" w:rsidR="0020529A" w:rsidRDefault="0020529A">
      <w:pPr>
        <w:pBdr>
          <w:top w:val="nil"/>
          <w:left w:val="nil"/>
          <w:bottom w:val="nil"/>
          <w:right w:val="nil"/>
          <w:between w:val="nil"/>
        </w:pBdr>
        <w:spacing w:after="0" w:line="240" w:lineRule="auto"/>
        <w:ind w:left="720"/>
        <w:jc w:val="both"/>
        <w:rPr>
          <w:rFonts w:ascii="Arial" w:eastAsia="Arial" w:hAnsi="Arial" w:cs="Arial"/>
          <w:color w:val="002060"/>
          <w:sz w:val="24"/>
          <w:szCs w:val="24"/>
        </w:rPr>
      </w:pPr>
    </w:p>
    <w:p w14:paraId="7BB9F408" w14:textId="77777777" w:rsidR="008A5D55" w:rsidRDefault="008A5D55">
      <w:pPr>
        <w:pBdr>
          <w:top w:val="nil"/>
          <w:left w:val="nil"/>
          <w:bottom w:val="nil"/>
          <w:right w:val="nil"/>
          <w:between w:val="nil"/>
        </w:pBdr>
        <w:spacing w:after="0" w:line="240" w:lineRule="auto"/>
        <w:ind w:left="720"/>
        <w:jc w:val="both"/>
        <w:rPr>
          <w:rFonts w:ascii="Arial" w:eastAsia="Arial" w:hAnsi="Arial" w:cs="Arial"/>
          <w:color w:val="002060"/>
          <w:sz w:val="24"/>
          <w:szCs w:val="24"/>
        </w:rPr>
      </w:pPr>
    </w:p>
    <w:p w14:paraId="0C123785" w14:textId="77777777"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31E8ADBA" w14:textId="77777777" w:rsidR="0020529A" w:rsidRDefault="0020529A">
      <w:pPr>
        <w:spacing w:after="0" w:line="240" w:lineRule="auto"/>
        <w:ind w:left="720"/>
        <w:jc w:val="both"/>
        <w:rPr>
          <w:rFonts w:ascii="Arial" w:eastAsia="Arial" w:hAnsi="Arial" w:cs="Arial"/>
          <w:sz w:val="24"/>
          <w:szCs w:val="24"/>
        </w:rPr>
      </w:pPr>
    </w:p>
    <w:p w14:paraId="465D8C31"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Kanlaon Volcano is at </w:t>
      </w:r>
      <w:r>
        <w:rPr>
          <w:rFonts w:ascii="Arial" w:eastAsia="Arial" w:hAnsi="Arial" w:cs="Arial"/>
          <w:b/>
          <w:color w:val="333333"/>
          <w:sz w:val="24"/>
          <w:szCs w:val="24"/>
        </w:rPr>
        <w:t>Alert Level 1</w:t>
      </w:r>
      <w:r>
        <w:rPr>
          <w:rFonts w:ascii="Arial" w:eastAsia="Arial" w:hAnsi="Arial" w:cs="Arial"/>
          <w:color w:val="333333"/>
          <w:sz w:val="24"/>
          <w:szCs w:val="24"/>
        </w:rPr>
        <w:t>, which means that it is at low-level volcanic unrest</w:t>
      </w:r>
      <w:r>
        <w:rPr>
          <w:rFonts w:ascii="Arial" w:eastAsia="Arial" w:hAnsi="Arial" w:cs="Arial"/>
          <w:color w:val="202124"/>
          <w:sz w:val="24"/>
          <w:szCs w:val="24"/>
          <w:highlight w:val="white"/>
          <w:vertAlign w:val="superscript"/>
        </w:rPr>
        <w:footnoteReference w:id="4"/>
      </w:r>
      <w:r>
        <w:rPr>
          <w:rFonts w:ascii="Arial" w:eastAsia="Arial" w:hAnsi="Arial" w:cs="Arial"/>
          <w:color w:val="333333"/>
          <w:sz w:val="24"/>
          <w:szCs w:val="24"/>
        </w:rPr>
        <w:t>;</w:t>
      </w:r>
    </w:p>
    <w:p w14:paraId="0DD8028E" w14:textId="77777777" w:rsidR="0020529A" w:rsidRDefault="0020529A">
      <w:p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p>
    <w:p w14:paraId="32E6B164" w14:textId="77777777" w:rsidR="0020529A" w:rsidRDefault="006F3BB4">
      <w:pPr>
        <w:numPr>
          <w:ilvl w:val="0"/>
          <w:numId w:val="8"/>
        </w:numPr>
        <w:pBdr>
          <w:top w:val="nil"/>
          <w:left w:val="nil"/>
          <w:bottom w:val="nil"/>
          <w:right w:val="nil"/>
          <w:between w:val="nil"/>
        </w:pBdr>
        <w:spacing w:after="0" w:line="240" w:lineRule="auto"/>
        <w:ind w:left="900"/>
        <w:jc w:val="both"/>
        <w:rPr>
          <w:rFonts w:ascii="Arial" w:eastAsia="Arial" w:hAnsi="Arial" w:cs="Arial"/>
          <w:color w:val="333333"/>
          <w:sz w:val="24"/>
          <w:szCs w:val="24"/>
          <w:highlight w:val="white"/>
        </w:rPr>
      </w:pPr>
      <w:r>
        <w:rPr>
          <w:rFonts w:ascii="Arial" w:eastAsia="Arial" w:hAnsi="Arial" w:cs="Arial"/>
          <w:color w:val="333333"/>
          <w:sz w:val="24"/>
          <w:szCs w:val="24"/>
          <w:highlight w:val="white"/>
        </w:rPr>
        <w:t>Alert Level 1 indicates slight increase in volcanic earthquake and steam / gas activity. Sporadic explosions from the summit crater or new vents. Notable increase in the temperature, acidity and volcanic gas concentrations of monitored springs and fumaroles. Slight inflation or swelling of the edifice;</w:t>
      </w:r>
    </w:p>
    <w:p w14:paraId="57301ED2" w14:textId="77777777" w:rsidR="0020529A" w:rsidRDefault="0020529A">
      <w:pPr>
        <w:spacing w:after="0" w:line="240" w:lineRule="auto"/>
        <w:ind w:left="900"/>
        <w:jc w:val="both"/>
        <w:rPr>
          <w:rFonts w:ascii="Arial" w:eastAsia="Arial" w:hAnsi="Arial" w:cs="Arial"/>
          <w:color w:val="333333"/>
          <w:sz w:val="24"/>
          <w:szCs w:val="24"/>
          <w:highlight w:val="white"/>
        </w:rPr>
      </w:pPr>
    </w:p>
    <w:p w14:paraId="6C1B41CB"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The local government units (LGUs) and the public are strongly reminded that entry into the 4-kilometer radius Permanent Danger Zone (PDZ) is strictly prohibited due </w:t>
      </w:r>
      <w:r>
        <w:rPr>
          <w:rFonts w:ascii="Arial" w:eastAsia="Arial" w:hAnsi="Arial" w:cs="Arial"/>
          <w:color w:val="333333"/>
          <w:sz w:val="24"/>
          <w:szCs w:val="24"/>
        </w:rPr>
        <w:lastRenderedPageBreak/>
        <w:t xml:space="preserve">to the further possibilities of sudden and hazardous steam-driven or phreatic eruptions; </w:t>
      </w:r>
    </w:p>
    <w:p w14:paraId="6CB7EAFA" w14:textId="77777777" w:rsidR="0020529A" w:rsidRDefault="0020529A">
      <w:pPr>
        <w:pBdr>
          <w:top w:val="nil"/>
          <w:left w:val="nil"/>
          <w:bottom w:val="nil"/>
          <w:right w:val="nil"/>
          <w:between w:val="nil"/>
        </w:pBdr>
        <w:spacing w:after="0" w:line="240" w:lineRule="auto"/>
        <w:ind w:left="900"/>
        <w:rPr>
          <w:rFonts w:ascii="Arial" w:eastAsia="Arial" w:hAnsi="Arial" w:cs="Arial"/>
          <w:color w:val="333333"/>
          <w:sz w:val="24"/>
          <w:szCs w:val="24"/>
        </w:rPr>
      </w:pPr>
    </w:p>
    <w:p w14:paraId="66BE57C1"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Civil aviation authorities must also advise pilots to avoid flying close to the volcano’s summit as ejecta from any sudden phreatic eruption can be hazardous to aircraft; and, </w:t>
      </w:r>
    </w:p>
    <w:p w14:paraId="2F396659" w14:textId="77777777" w:rsidR="0020529A" w:rsidRDefault="0020529A">
      <w:pPr>
        <w:pBdr>
          <w:top w:val="nil"/>
          <w:left w:val="nil"/>
          <w:bottom w:val="nil"/>
          <w:right w:val="nil"/>
          <w:between w:val="nil"/>
        </w:pBdr>
        <w:spacing w:after="0" w:line="240" w:lineRule="auto"/>
        <w:ind w:left="900"/>
        <w:rPr>
          <w:rFonts w:ascii="Arial" w:eastAsia="Arial" w:hAnsi="Arial" w:cs="Arial"/>
          <w:color w:val="333333"/>
          <w:sz w:val="24"/>
          <w:szCs w:val="24"/>
        </w:rPr>
      </w:pPr>
    </w:p>
    <w:p w14:paraId="48183900"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DOST-PHIVOLCS is closely monitoring Kanlaon Volcano’s activity and any new development will be relayed to all concerned.</w:t>
      </w:r>
    </w:p>
    <w:p w14:paraId="644F9894" w14:textId="77777777" w:rsidR="0020529A" w:rsidRDefault="0020529A">
      <w:pPr>
        <w:shd w:val="clear" w:color="auto" w:fill="FFFFFF"/>
        <w:spacing w:after="0" w:line="240" w:lineRule="auto"/>
        <w:jc w:val="both"/>
        <w:rPr>
          <w:rFonts w:ascii="Arial" w:eastAsia="Arial" w:hAnsi="Arial" w:cs="Arial"/>
          <w:color w:val="333333"/>
          <w:sz w:val="24"/>
          <w:szCs w:val="24"/>
        </w:rPr>
      </w:pPr>
    </w:p>
    <w:p w14:paraId="5C9D4EF7" w14:textId="77777777" w:rsidR="0020529A" w:rsidRDefault="006F3BB4">
      <w:pPr>
        <w:spacing w:after="0" w:line="240" w:lineRule="auto"/>
        <w:ind w:left="540"/>
        <w:jc w:val="both"/>
        <w:rPr>
          <w:rFonts w:ascii="Arial" w:eastAsia="Arial" w:hAnsi="Arial" w:cs="Arial"/>
          <w:color w:val="333333"/>
          <w:sz w:val="24"/>
          <w:szCs w:val="24"/>
        </w:rPr>
      </w:pPr>
      <w:r>
        <w:rPr>
          <w:rFonts w:ascii="Arial" w:eastAsia="Arial" w:hAnsi="Arial" w:cs="Arial"/>
          <w:noProof/>
          <w:sz w:val="24"/>
          <w:szCs w:val="24"/>
          <w:lang w:eastAsia="en-PH"/>
        </w:rPr>
        <w:drawing>
          <wp:inline distT="0" distB="0" distL="0" distR="0" wp14:anchorId="08B8ACCB" wp14:editId="2FC996BA">
            <wp:extent cx="5886491" cy="4187202"/>
            <wp:effectExtent l="0" t="0" r="0" b="0"/>
            <wp:docPr id="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90" r="290"/>
                    <a:stretch>
                      <a:fillRect/>
                    </a:stretch>
                  </pic:blipFill>
                  <pic:spPr>
                    <a:xfrm>
                      <a:off x="0" y="0"/>
                      <a:ext cx="5886491" cy="4187202"/>
                    </a:xfrm>
                    <a:prstGeom prst="rect">
                      <a:avLst/>
                    </a:prstGeom>
                    <a:ln/>
                  </pic:spPr>
                </pic:pic>
              </a:graphicData>
            </a:graphic>
          </wp:inline>
        </w:drawing>
      </w:r>
    </w:p>
    <w:p w14:paraId="19EB3479" w14:textId="77777777" w:rsidR="0020529A" w:rsidRDefault="0020529A">
      <w:pPr>
        <w:spacing w:after="0" w:line="240" w:lineRule="auto"/>
        <w:jc w:val="both"/>
        <w:rPr>
          <w:rFonts w:ascii="Arial" w:eastAsia="Arial" w:hAnsi="Arial" w:cs="Arial"/>
          <w:color w:val="333333"/>
          <w:sz w:val="24"/>
          <w:szCs w:val="24"/>
        </w:rPr>
      </w:pPr>
    </w:p>
    <w:p w14:paraId="6F48B828" w14:textId="77777777" w:rsidR="0020529A" w:rsidRDefault="0020529A">
      <w:pPr>
        <w:spacing w:after="0" w:line="240" w:lineRule="auto"/>
        <w:jc w:val="both"/>
        <w:rPr>
          <w:rFonts w:ascii="Arial" w:eastAsia="Arial" w:hAnsi="Arial" w:cs="Arial"/>
          <w:sz w:val="24"/>
          <w:szCs w:val="24"/>
        </w:rPr>
      </w:pPr>
    </w:p>
    <w:p w14:paraId="53CDCB32" w14:textId="77777777"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Predictive Analytics for Humanitarian Response (PAHR)</w:t>
      </w:r>
    </w:p>
    <w:p w14:paraId="18F90FF6" w14:textId="77777777" w:rsidR="0020529A" w:rsidRDefault="0020529A">
      <w:pPr>
        <w:spacing w:after="0" w:line="240" w:lineRule="auto"/>
        <w:ind w:left="540"/>
        <w:jc w:val="both"/>
        <w:rPr>
          <w:rFonts w:ascii="Arial" w:eastAsia="Arial" w:hAnsi="Arial" w:cs="Arial"/>
          <w:color w:val="222222"/>
          <w:sz w:val="24"/>
          <w:szCs w:val="24"/>
          <w:highlight w:val="white"/>
        </w:rPr>
      </w:pPr>
    </w:p>
    <w:p w14:paraId="25E61F32" w14:textId="77777777" w:rsidR="0020529A" w:rsidRDefault="006F3BB4">
      <w:pPr>
        <w:spacing w:after="0" w:line="240" w:lineRule="auto"/>
        <w:ind w:left="540"/>
        <w:jc w:val="both"/>
        <w:rPr>
          <w:rFonts w:ascii="Arial" w:eastAsia="Arial" w:hAnsi="Arial" w:cs="Arial"/>
          <w:sz w:val="24"/>
          <w:szCs w:val="24"/>
          <w:highlight w:val="white"/>
        </w:rPr>
      </w:pPr>
      <w:r>
        <w:rPr>
          <w:rFonts w:ascii="Arial" w:eastAsia="Arial" w:hAnsi="Arial" w:cs="Arial"/>
          <w:sz w:val="24"/>
          <w:szCs w:val="24"/>
          <w:highlight w:val="white"/>
        </w:rPr>
        <w:t>A total of </w:t>
      </w:r>
      <w:r>
        <w:rPr>
          <w:rFonts w:ascii="Arial" w:eastAsia="Arial" w:hAnsi="Arial" w:cs="Arial"/>
          <w:b/>
          <w:sz w:val="24"/>
          <w:szCs w:val="24"/>
          <w:highlight w:val="white"/>
        </w:rPr>
        <w:t>15,331 families</w:t>
      </w:r>
      <w:r>
        <w:rPr>
          <w:rFonts w:ascii="Arial" w:eastAsia="Arial" w:hAnsi="Arial" w:cs="Arial"/>
          <w:sz w:val="24"/>
          <w:szCs w:val="24"/>
          <w:highlight w:val="white"/>
        </w:rPr>
        <w:t> or </w:t>
      </w:r>
      <w:r>
        <w:rPr>
          <w:rFonts w:ascii="Arial" w:eastAsia="Arial" w:hAnsi="Arial" w:cs="Arial"/>
          <w:b/>
          <w:sz w:val="24"/>
          <w:szCs w:val="24"/>
          <w:highlight w:val="white"/>
        </w:rPr>
        <w:t>76,656 persons</w:t>
      </w:r>
      <w:r>
        <w:rPr>
          <w:rFonts w:ascii="Arial" w:eastAsia="Arial" w:hAnsi="Arial" w:cs="Arial"/>
          <w:sz w:val="24"/>
          <w:szCs w:val="24"/>
          <w:highlight w:val="white"/>
        </w:rPr>
        <w:t> in</w:t>
      </w:r>
      <w:r>
        <w:rPr>
          <w:rFonts w:ascii="Arial" w:eastAsia="Arial" w:hAnsi="Arial" w:cs="Arial"/>
          <w:b/>
          <w:sz w:val="24"/>
          <w:szCs w:val="24"/>
          <w:highlight w:val="white"/>
        </w:rPr>
        <w:t> 13 barangays</w:t>
      </w:r>
      <w:r>
        <w:rPr>
          <w:rFonts w:ascii="Arial" w:eastAsia="Arial" w:hAnsi="Arial" w:cs="Arial"/>
          <w:sz w:val="24"/>
          <w:szCs w:val="24"/>
          <w:highlight w:val="white"/>
        </w:rPr>
        <w:t> in </w:t>
      </w:r>
      <w:r>
        <w:rPr>
          <w:rFonts w:ascii="Arial" w:eastAsia="Arial" w:hAnsi="Arial" w:cs="Arial"/>
          <w:b/>
          <w:sz w:val="24"/>
          <w:szCs w:val="24"/>
          <w:highlight w:val="white"/>
        </w:rPr>
        <w:t xml:space="preserve">Regions VI </w:t>
      </w:r>
      <w:r>
        <w:rPr>
          <w:rFonts w:ascii="Arial" w:eastAsia="Arial" w:hAnsi="Arial" w:cs="Arial"/>
          <w:sz w:val="24"/>
          <w:szCs w:val="24"/>
          <w:highlight w:val="white"/>
        </w:rPr>
        <w:t xml:space="preserve">and </w:t>
      </w:r>
      <w:r>
        <w:rPr>
          <w:rFonts w:ascii="Arial" w:eastAsia="Arial" w:hAnsi="Arial" w:cs="Arial"/>
          <w:b/>
          <w:sz w:val="24"/>
          <w:szCs w:val="24"/>
          <w:highlight w:val="white"/>
        </w:rPr>
        <w:t>VII</w:t>
      </w:r>
      <w:r>
        <w:rPr>
          <w:rFonts w:ascii="Arial" w:eastAsia="Arial" w:hAnsi="Arial" w:cs="Arial"/>
          <w:sz w:val="24"/>
          <w:szCs w:val="24"/>
          <w:highlight w:val="white"/>
        </w:rPr>
        <w:t xml:space="preserve"> lying within the 4-kilometer (km) Permanent Danger Zone (PDZ) are at high risk on Kanlaon’s eruption. A massive eruption would directly affect </w:t>
      </w:r>
      <w:r>
        <w:rPr>
          <w:rFonts w:ascii="Arial" w:eastAsia="Arial" w:hAnsi="Arial" w:cs="Arial"/>
          <w:b/>
          <w:sz w:val="24"/>
          <w:szCs w:val="24"/>
          <w:highlight w:val="white"/>
        </w:rPr>
        <w:t>105,767 families</w:t>
      </w:r>
      <w:r>
        <w:rPr>
          <w:rFonts w:ascii="Arial" w:eastAsia="Arial" w:hAnsi="Arial" w:cs="Arial"/>
          <w:sz w:val="24"/>
          <w:szCs w:val="24"/>
          <w:highlight w:val="white"/>
        </w:rPr>
        <w:t xml:space="preserve"> or </w:t>
      </w:r>
      <w:r>
        <w:rPr>
          <w:rFonts w:ascii="Arial" w:eastAsia="Arial" w:hAnsi="Arial" w:cs="Arial"/>
          <w:b/>
          <w:sz w:val="24"/>
          <w:szCs w:val="24"/>
          <w:highlight w:val="white"/>
        </w:rPr>
        <w:t>528,838 persons</w:t>
      </w:r>
      <w:r>
        <w:rPr>
          <w:rFonts w:ascii="Arial" w:eastAsia="Arial" w:hAnsi="Arial" w:cs="Arial"/>
          <w:sz w:val="24"/>
          <w:szCs w:val="24"/>
          <w:highlight w:val="white"/>
        </w:rPr>
        <w:t xml:space="preserve"> spanning one (1) town and four (4) cities in Negros Occidental and Negros Oriental (see Table 1).</w:t>
      </w:r>
    </w:p>
    <w:p w14:paraId="084777F1"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i/>
          <w:color w:val="000000"/>
          <w:sz w:val="24"/>
          <w:szCs w:val="24"/>
          <w:highlight w:val="white"/>
        </w:rPr>
      </w:pPr>
    </w:p>
    <w:p w14:paraId="38D1038F" w14:textId="77777777" w:rsidR="0020529A" w:rsidRDefault="006F3BB4">
      <w:pPr>
        <w:pBdr>
          <w:top w:val="nil"/>
          <w:left w:val="nil"/>
          <w:bottom w:val="nil"/>
          <w:right w:val="nil"/>
          <w:between w:val="nil"/>
        </w:pBdr>
        <w:spacing w:after="0" w:line="240" w:lineRule="auto"/>
        <w:ind w:left="540"/>
        <w:jc w:val="both"/>
        <w:rPr>
          <w:rFonts w:ascii="Arial" w:eastAsia="Arial" w:hAnsi="Arial" w:cs="Arial"/>
          <w:b/>
          <w:color w:val="002060"/>
          <w:sz w:val="20"/>
          <w:szCs w:val="20"/>
        </w:rPr>
      </w:pPr>
      <w:r>
        <w:rPr>
          <w:rFonts w:ascii="Arial" w:eastAsia="Arial" w:hAnsi="Arial" w:cs="Arial"/>
          <w:b/>
          <w:i/>
          <w:color w:val="000000"/>
          <w:sz w:val="20"/>
          <w:szCs w:val="20"/>
          <w:highlight w:val="white"/>
        </w:rPr>
        <w:t>Table 1. Projected Affected Population</w:t>
      </w:r>
    </w:p>
    <w:tbl>
      <w:tblPr>
        <w:tblStyle w:val="afff9"/>
        <w:tblW w:w="9201"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58" w:type="dxa"/>
          <w:bottom w:w="0" w:type="dxa"/>
          <w:right w:w="58" w:type="dxa"/>
        </w:tblCellMar>
        <w:tblLook w:val="0400" w:firstRow="0" w:lastRow="0" w:firstColumn="0" w:lastColumn="0" w:noHBand="0" w:noVBand="1"/>
      </w:tblPr>
      <w:tblGrid>
        <w:gridCol w:w="2154"/>
        <w:gridCol w:w="1275"/>
        <w:gridCol w:w="1134"/>
        <w:gridCol w:w="1134"/>
        <w:gridCol w:w="1276"/>
        <w:gridCol w:w="1171"/>
        <w:gridCol w:w="1057"/>
      </w:tblGrid>
      <w:tr w:rsidR="0020529A" w14:paraId="5E36E0B7" w14:textId="77777777" w:rsidTr="00753FE8">
        <w:trPr>
          <w:trHeight w:val="20"/>
          <w:tblHeader/>
        </w:trPr>
        <w:tc>
          <w:tcPr>
            <w:tcW w:w="215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58268D4"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Affected Areas </w:t>
            </w:r>
          </w:p>
        </w:tc>
        <w:tc>
          <w:tcPr>
            <w:tcW w:w="3543" w:type="dxa"/>
            <w:gridSpan w:val="3"/>
            <w:tcBorders>
              <w:top w:val="single" w:sz="4" w:space="0" w:color="000000"/>
              <w:left w:val="nil"/>
              <w:bottom w:val="single" w:sz="4" w:space="0" w:color="000000"/>
              <w:right w:val="single" w:sz="4" w:space="0" w:color="000000"/>
            </w:tcBorders>
            <w:shd w:val="clear" w:color="auto" w:fill="BFBFBF"/>
            <w:vAlign w:val="center"/>
          </w:tcPr>
          <w:p w14:paraId="36FC6BBA"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4-km PDZ</w:t>
            </w:r>
          </w:p>
        </w:tc>
        <w:tc>
          <w:tcPr>
            <w:tcW w:w="3504" w:type="dxa"/>
            <w:gridSpan w:val="3"/>
            <w:tcBorders>
              <w:top w:val="single" w:sz="4" w:space="0" w:color="000000"/>
              <w:left w:val="nil"/>
              <w:bottom w:val="single" w:sz="4" w:space="0" w:color="000000"/>
              <w:right w:val="single" w:sz="4" w:space="0" w:color="000000"/>
            </w:tcBorders>
            <w:shd w:val="clear" w:color="auto" w:fill="BFBFBF"/>
            <w:vAlign w:val="center"/>
          </w:tcPr>
          <w:p w14:paraId="0CBD88D4"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Total Population </w:t>
            </w:r>
          </w:p>
        </w:tc>
      </w:tr>
      <w:tr w:rsidR="0020529A" w14:paraId="12DCF523" w14:textId="77777777" w:rsidTr="00753FE8">
        <w:trPr>
          <w:trHeight w:val="20"/>
          <w:tblHeader/>
        </w:trPr>
        <w:tc>
          <w:tcPr>
            <w:tcW w:w="215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7A57B30E" w14:textId="77777777" w:rsidR="0020529A" w:rsidRDefault="0020529A">
            <w:pPr>
              <w:widowControl w:val="0"/>
              <w:pBdr>
                <w:top w:val="nil"/>
                <w:left w:val="nil"/>
                <w:bottom w:val="nil"/>
                <w:right w:val="nil"/>
                <w:between w:val="nil"/>
              </w:pBdr>
              <w:spacing w:line="276" w:lineRule="auto"/>
              <w:rPr>
                <w:rFonts w:ascii="Arial" w:eastAsia="Arial" w:hAnsi="Arial" w:cs="Arial"/>
                <w:b/>
                <w:color w:val="000000"/>
                <w:sz w:val="19"/>
                <w:szCs w:val="19"/>
              </w:rPr>
            </w:pPr>
          </w:p>
        </w:tc>
        <w:tc>
          <w:tcPr>
            <w:tcW w:w="1275" w:type="dxa"/>
            <w:tcBorders>
              <w:top w:val="nil"/>
              <w:left w:val="nil"/>
              <w:bottom w:val="single" w:sz="4" w:space="0" w:color="000000"/>
              <w:right w:val="single" w:sz="4" w:space="0" w:color="000000"/>
            </w:tcBorders>
            <w:shd w:val="clear" w:color="auto" w:fill="BFBFBF"/>
            <w:vAlign w:val="center"/>
          </w:tcPr>
          <w:p w14:paraId="117D137B"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Barangays</w:t>
            </w:r>
          </w:p>
        </w:tc>
        <w:tc>
          <w:tcPr>
            <w:tcW w:w="1134" w:type="dxa"/>
            <w:tcBorders>
              <w:top w:val="nil"/>
              <w:left w:val="nil"/>
              <w:bottom w:val="single" w:sz="4" w:space="0" w:color="000000"/>
              <w:right w:val="single" w:sz="4" w:space="0" w:color="000000"/>
            </w:tcBorders>
            <w:shd w:val="clear" w:color="auto" w:fill="BFBFBF"/>
            <w:vAlign w:val="center"/>
          </w:tcPr>
          <w:p w14:paraId="0660FEAC"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Families </w:t>
            </w:r>
          </w:p>
        </w:tc>
        <w:tc>
          <w:tcPr>
            <w:tcW w:w="1134" w:type="dxa"/>
            <w:tcBorders>
              <w:top w:val="nil"/>
              <w:left w:val="nil"/>
              <w:bottom w:val="single" w:sz="4" w:space="0" w:color="000000"/>
              <w:right w:val="single" w:sz="4" w:space="0" w:color="000000"/>
            </w:tcBorders>
            <w:shd w:val="clear" w:color="auto" w:fill="BFBFBF"/>
            <w:vAlign w:val="center"/>
          </w:tcPr>
          <w:p w14:paraId="5216CDAC"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Persons </w:t>
            </w:r>
          </w:p>
        </w:tc>
        <w:tc>
          <w:tcPr>
            <w:tcW w:w="1276" w:type="dxa"/>
            <w:tcBorders>
              <w:top w:val="nil"/>
              <w:left w:val="nil"/>
              <w:bottom w:val="single" w:sz="4" w:space="0" w:color="000000"/>
              <w:right w:val="single" w:sz="4" w:space="0" w:color="000000"/>
            </w:tcBorders>
            <w:shd w:val="clear" w:color="auto" w:fill="BFBFBF"/>
            <w:vAlign w:val="center"/>
          </w:tcPr>
          <w:p w14:paraId="4FDD1A5F"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Barangays</w:t>
            </w:r>
          </w:p>
        </w:tc>
        <w:tc>
          <w:tcPr>
            <w:tcW w:w="1171" w:type="dxa"/>
            <w:tcBorders>
              <w:top w:val="nil"/>
              <w:left w:val="nil"/>
              <w:bottom w:val="single" w:sz="4" w:space="0" w:color="000000"/>
              <w:right w:val="single" w:sz="4" w:space="0" w:color="000000"/>
            </w:tcBorders>
            <w:shd w:val="clear" w:color="auto" w:fill="BFBFBF"/>
            <w:vAlign w:val="center"/>
          </w:tcPr>
          <w:p w14:paraId="7049950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Families </w:t>
            </w:r>
          </w:p>
        </w:tc>
        <w:tc>
          <w:tcPr>
            <w:tcW w:w="1057" w:type="dxa"/>
            <w:tcBorders>
              <w:top w:val="nil"/>
              <w:left w:val="nil"/>
              <w:bottom w:val="single" w:sz="4" w:space="0" w:color="000000"/>
              <w:right w:val="single" w:sz="4" w:space="0" w:color="000000"/>
            </w:tcBorders>
            <w:shd w:val="clear" w:color="auto" w:fill="BFBFBF"/>
            <w:vAlign w:val="center"/>
          </w:tcPr>
          <w:p w14:paraId="51E6808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Persons </w:t>
            </w:r>
          </w:p>
        </w:tc>
      </w:tr>
      <w:tr w:rsidR="0020529A" w14:paraId="7BEC4D95"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D9E2F3"/>
            <w:vAlign w:val="center"/>
          </w:tcPr>
          <w:p w14:paraId="41B5077F"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TOTAL </w:t>
            </w:r>
          </w:p>
        </w:tc>
        <w:tc>
          <w:tcPr>
            <w:tcW w:w="1275" w:type="dxa"/>
            <w:tcBorders>
              <w:top w:val="nil"/>
              <w:left w:val="nil"/>
              <w:bottom w:val="single" w:sz="4" w:space="0" w:color="000000"/>
              <w:right w:val="single" w:sz="4" w:space="0" w:color="000000"/>
            </w:tcBorders>
            <w:shd w:val="clear" w:color="auto" w:fill="D9E2F3"/>
            <w:vAlign w:val="center"/>
          </w:tcPr>
          <w:p w14:paraId="58ED6D6D"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13 </w:t>
            </w:r>
          </w:p>
        </w:tc>
        <w:tc>
          <w:tcPr>
            <w:tcW w:w="1134" w:type="dxa"/>
            <w:tcBorders>
              <w:top w:val="nil"/>
              <w:left w:val="nil"/>
              <w:bottom w:val="single" w:sz="4" w:space="0" w:color="000000"/>
              <w:right w:val="single" w:sz="4" w:space="0" w:color="000000"/>
            </w:tcBorders>
            <w:shd w:val="clear" w:color="auto" w:fill="D9E2F3"/>
            <w:vAlign w:val="center"/>
          </w:tcPr>
          <w:p w14:paraId="278BC3B8"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15,331 </w:t>
            </w:r>
          </w:p>
        </w:tc>
        <w:tc>
          <w:tcPr>
            <w:tcW w:w="1134" w:type="dxa"/>
            <w:tcBorders>
              <w:top w:val="nil"/>
              <w:left w:val="nil"/>
              <w:bottom w:val="single" w:sz="4" w:space="0" w:color="000000"/>
              <w:right w:val="single" w:sz="4" w:space="0" w:color="000000"/>
            </w:tcBorders>
            <w:shd w:val="clear" w:color="auto" w:fill="D9E2F3"/>
            <w:vAlign w:val="center"/>
          </w:tcPr>
          <w:p w14:paraId="37E02A82"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76,656 </w:t>
            </w:r>
          </w:p>
        </w:tc>
        <w:tc>
          <w:tcPr>
            <w:tcW w:w="1276" w:type="dxa"/>
            <w:tcBorders>
              <w:top w:val="nil"/>
              <w:left w:val="nil"/>
              <w:bottom w:val="single" w:sz="4" w:space="0" w:color="000000"/>
              <w:right w:val="single" w:sz="4" w:space="0" w:color="000000"/>
            </w:tcBorders>
            <w:shd w:val="clear" w:color="auto" w:fill="D9E2F3"/>
            <w:vAlign w:val="center"/>
          </w:tcPr>
          <w:p w14:paraId="2DCB8DB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149 </w:t>
            </w:r>
          </w:p>
        </w:tc>
        <w:tc>
          <w:tcPr>
            <w:tcW w:w="1171" w:type="dxa"/>
            <w:tcBorders>
              <w:top w:val="nil"/>
              <w:left w:val="nil"/>
              <w:bottom w:val="single" w:sz="4" w:space="0" w:color="000000"/>
              <w:right w:val="single" w:sz="4" w:space="0" w:color="000000"/>
            </w:tcBorders>
            <w:shd w:val="clear" w:color="auto" w:fill="D9E2F3"/>
            <w:vAlign w:val="center"/>
          </w:tcPr>
          <w:p w14:paraId="7507E90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105,767 </w:t>
            </w:r>
          </w:p>
        </w:tc>
        <w:tc>
          <w:tcPr>
            <w:tcW w:w="1057" w:type="dxa"/>
            <w:tcBorders>
              <w:top w:val="nil"/>
              <w:left w:val="nil"/>
              <w:bottom w:val="single" w:sz="4" w:space="0" w:color="000000"/>
              <w:right w:val="single" w:sz="4" w:space="0" w:color="000000"/>
            </w:tcBorders>
            <w:shd w:val="clear" w:color="auto" w:fill="D9E2F3"/>
            <w:vAlign w:val="center"/>
          </w:tcPr>
          <w:p w14:paraId="4B8301E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528,838 </w:t>
            </w:r>
          </w:p>
        </w:tc>
      </w:tr>
      <w:tr w:rsidR="0020529A" w14:paraId="22C6AEFB"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EDEDED"/>
            <w:vAlign w:val="center"/>
          </w:tcPr>
          <w:p w14:paraId="33695174"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Region VI</w:t>
            </w:r>
          </w:p>
          <w:p w14:paraId="6A66A096"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 xml:space="preserve">(Negros Occidental) </w:t>
            </w:r>
          </w:p>
        </w:tc>
        <w:tc>
          <w:tcPr>
            <w:tcW w:w="1275" w:type="dxa"/>
            <w:tcBorders>
              <w:top w:val="nil"/>
              <w:left w:val="nil"/>
              <w:bottom w:val="single" w:sz="4" w:space="0" w:color="000000"/>
              <w:right w:val="single" w:sz="4" w:space="0" w:color="000000"/>
            </w:tcBorders>
            <w:shd w:val="clear" w:color="auto" w:fill="EDEDED"/>
            <w:vAlign w:val="center"/>
          </w:tcPr>
          <w:p w14:paraId="7E2B8556"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9 </w:t>
            </w:r>
          </w:p>
        </w:tc>
        <w:tc>
          <w:tcPr>
            <w:tcW w:w="1134" w:type="dxa"/>
            <w:tcBorders>
              <w:top w:val="nil"/>
              <w:left w:val="nil"/>
              <w:bottom w:val="single" w:sz="4" w:space="0" w:color="000000"/>
              <w:right w:val="single" w:sz="4" w:space="0" w:color="000000"/>
            </w:tcBorders>
            <w:shd w:val="clear" w:color="auto" w:fill="EDEDED"/>
            <w:vAlign w:val="center"/>
          </w:tcPr>
          <w:p w14:paraId="66A73531"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11,513 </w:t>
            </w:r>
          </w:p>
        </w:tc>
        <w:tc>
          <w:tcPr>
            <w:tcW w:w="1134" w:type="dxa"/>
            <w:tcBorders>
              <w:top w:val="nil"/>
              <w:left w:val="nil"/>
              <w:bottom w:val="single" w:sz="4" w:space="0" w:color="000000"/>
              <w:right w:val="single" w:sz="4" w:space="0" w:color="000000"/>
            </w:tcBorders>
            <w:shd w:val="clear" w:color="auto" w:fill="EDEDED"/>
            <w:vAlign w:val="center"/>
          </w:tcPr>
          <w:p w14:paraId="37B089DE"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57,565 </w:t>
            </w:r>
          </w:p>
        </w:tc>
        <w:tc>
          <w:tcPr>
            <w:tcW w:w="1276" w:type="dxa"/>
            <w:tcBorders>
              <w:top w:val="nil"/>
              <w:left w:val="nil"/>
              <w:bottom w:val="single" w:sz="4" w:space="0" w:color="000000"/>
              <w:right w:val="single" w:sz="4" w:space="0" w:color="000000"/>
            </w:tcBorders>
            <w:shd w:val="clear" w:color="auto" w:fill="EDEDED"/>
            <w:vAlign w:val="center"/>
          </w:tcPr>
          <w:p w14:paraId="0AA5E72A"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137 </w:t>
            </w:r>
          </w:p>
        </w:tc>
        <w:tc>
          <w:tcPr>
            <w:tcW w:w="1171" w:type="dxa"/>
            <w:tcBorders>
              <w:top w:val="nil"/>
              <w:left w:val="nil"/>
              <w:bottom w:val="single" w:sz="4" w:space="0" w:color="000000"/>
              <w:right w:val="single" w:sz="4" w:space="0" w:color="000000"/>
            </w:tcBorders>
            <w:shd w:val="clear" w:color="auto" w:fill="EDEDED"/>
            <w:vAlign w:val="center"/>
          </w:tcPr>
          <w:p w14:paraId="19A1DDBF"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 94,003 </w:t>
            </w:r>
          </w:p>
        </w:tc>
        <w:tc>
          <w:tcPr>
            <w:tcW w:w="1057" w:type="dxa"/>
            <w:tcBorders>
              <w:top w:val="nil"/>
              <w:left w:val="nil"/>
              <w:bottom w:val="single" w:sz="4" w:space="0" w:color="000000"/>
              <w:right w:val="single" w:sz="4" w:space="0" w:color="000000"/>
            </w:tcBorders>
            <w:shd w:val="clear" w:color="auto" w:fill="EDEDED"/>
            <w:vAlign w:val="center"/>
          </w:tcPr>
          <w:p w14:paraId="71C4B7A8"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470,016 </w:t>
            </w:r>
          </w:p>
        </w:tc>
      </w:tr>
      <w:tr w:rsidR="0020529A" w14:paraId="0781BFE5"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3B338BE8"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 xml:space="preserve">Bago City </w:t>
            </w:r>
          </w:p>
        </w:tc>
        <w:tc>
          <w:tcPr>
            <w:tcW w:w="1275" w:type="dxa"/>
            <w:tcBorders>
              <w:top w:val="nil"/>
              <w:left w:val="nil"/>
              <w:bottom w:val="single" w:sz="4" w:space="0" w:color="000000"/>
              <w:right w:val="single" w:sz="4" w:space="0" w:color="000000"/>
            </w:tcBorders>
            <w:shd w:val="clear" w:color="auto" w:fill="auto"/>
            <w:vAlign w:val="center"/>
          </w:tcPr>
          <w:p w14:paraId="438B0A03"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w:t>
            </w:r>
          </w:p>
        </w:tc>
        <w:tc>
          <w:tcPr>
            <w:tcW w:w="1134" w:type="dxa"/>
            <w:tcBorders>
              <w:top w:val="nil"/>
              <w:left w:val="nil"/>
              <w:bottom w:val="single" w:sz="4" w:space="0" w:color="000000"/>
              <w:right w:val="single" w:sz="4" w:space="0" w:color="000000"/>
            </w:tcBorders>
            <w:shd w:val="clear" w:color="auto" w:fill="auto"/>
            <w:vAlign w:val="center"/>
          </w:tcPr>
          <w:p w14:paraId="480C00E9"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2,683</w:t>
            </w:r>
          </w:p>
        </w:tc>
        <w:tc>
          <w:tcPr>
            <w:tcW w:w="1134" w:type="dxa"/>
            <w:tcBorders>
              <w:top w:val="nil"/>
              <w:left w:val="nil"/>
              <w:bottom w:val="single" w:sz="4" w:space="0" w:color="000000"/>
              <w:right w:val="single" w:sz="4" w:space="0" w:color="000000"/>
            </w:tcBorders>
            <w:shd w:val="clear" w:color="auto" w:fill="auto"/>
            <w:vAlign w:val="center"/>
          </w:tcPr>
          <w:p w14:paraId="0F8BD319"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13,416</w:t>
            </w:r>
          </w:p>
        </w:tc>
        <w:tc>
          <w:tcPr>
            <w:tcW w:w="1276" w:type="dxa"/>
            <w:tcBorders>
              <w:top w:val="nil"/>
              <w:left w:val="nil"/>
              <w:bottom w:val="single" w:sz="4" w:space="0" w:color="000000"/>
              <w:right w:val="single" w:sz="4" w:space="0" w:color="000000"/>
            </w:tcBorders>
            <w:shd w:val="clear" w:color="auto" w:fill="auto"/>
            <w:vAlign w:val="center"/>
          </w:tcPr>
          <w:p w14:paraId="022E2181"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24</w:t>
            </w:r>
          </w:p>
        </w:tc>
        <w:tc>
          <w:tcPr>
            <w:tcW w:w="1171" w:type="dxa"/>
            <w:tcBorders>
              <w:top w:val="nil"/>
              <w:left w:val="nil"/>
              <w:bottom w:val="single" w:sz="4" w:space="0" w:color="000000"/>
              <w:right w:val="single" w:sz="4" w:space="0" w:color="000000"/>
            </w:tcBorders>
            <w:shd w:val="clear" w:color="auto" w:fill="auto"/>
            <w:vAlign w:val="center"/>
          </w:tcPr>
          <w:p w14:paraId="3EC806EA"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38,242</w:t>
            </w:r>
          </w:p>
        </w:tc>
        <w:tc>
          <w:tcPr>
            <w:tcW w:w="1057" w:type="dxa"/>
            <w:tcBorders>
              <w:top w:val="nil"/>
              <w:left w:val="nil"/>
              <w:bottom w:val="single" w:sz="4" w:space="0" w:color="000000"/>
              <w:right w:val="single" w:sz="4" w:space="0" w:color="000000"/>
            </w:tcBorders>
            <w:shd w:val="clear" w:color="auto" w:fill="auto"/>
            <w:vAlign w:val="center"/>
          </w:tcPr>
          <w:p w14:paraId="1ABE0991"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191,210</w:t>
            </w:r>
          </w:p>
        </w:tc>
      </w:tr>
      <w:tr w:rsidR="0020529A" w14:paraId="3697ABAD"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17AB5ADB"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La Castellana</w:t>
            </w:r>
          </w:p>
        </w:tc>
        <w:tc>
          <w:tcPr>
            <w:tcW w:w="1275" w:type="dxa"/>
            <w:tcBorders>
              <w:top w:val="nil"/>
              <w:left w:val="nil"/>
              <w:bottom w:val="single" w:sz="4" w:space="0" w:color="000000"/>
              <w:right w:val="single" w:sz="4" w:space="0" w:color="000000"/>
            </w:tcBorders>
            <w:shd w:val="clear" w:color="auto" w:fill="auto"/>
            <w:vAlign w:val="center"/>
          </w:tcPr>
          <w:p w14:paraId="23C952E9"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4</w:t>
            </w:r>
          </w:p>
        </w:tc>
        <w:tc>
          <w:tcPr>
            <w:tcW w:w="1134" w:type="dxa"/>
            <w:tcBorders>
              <w:top w:val="nil"/>
              <w:left w:val="nil"/>
              <w:bottom w:val="single" w:sz="4" w:space="0" w:color="000000"/>
              <w:right w:val="single" w:sz="4" w:space="0" w:color="000000"/>
            </w:tcBorders>
            <w:shd w:val="clear" w:color="auto" w:fill="auto"/>
            <w:vAlign w:val="center"/>
          </w:tcPr>
          <w:p w14:paraId="7D7E75D4"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4,914</w:t>
            </w:r>
          </w:p>
        </w:tc>
        <w:tc>
          <w:tcPr>
            <w:tcW w:w="1134" w:type="dxa"/>
            <w:tcBorders>
              <w:top w:val="nil"/>
              <w:left w:val="nil"/>
              <w:bottom w:val="single" w:sz="4" w:space="0" w:color="000000"/>
              <w:right w:val="single" w:sz="4" w:space="0" w:color="000000"/>
            </w:tcBorders>
            <w:shd w:val="clear" w:color="auto" w:fill="auto"/>
            <w:vAlign w:val="center"/>
          </w:tcPr>
          <w:p w14:paraId="777B4744"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24,570</w:t>
            </w:r>
          </w:p>
        </w:tc>
        <w:tc>
          <w:tcPr>
            <w:tcW w:w="1276" w:type="dxa"/>
            <w:tcBorders>
              <w:top w:val="nil"/>
              <w:left w:val="nil"/>
              <w:bottom w:val="single" w:sz="4" w:space="0" w:color="000000"/>
              <w:right w:val="single" w:sz="4" w:space="0" w:color="000000"/>
            </w:tcBorders>
            <w:shd w:val="clear" w:color="auto" w:fill="auto"/>
            <w:vAlign w:val="center"/>
          </w:tcPr>
          <w:p w14:paraId="4F69E248"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w:t>
            </w:r>
          </w:p>
        </w:tc>
        <w:tc>
          <w:tcPr>
            <w:tcW w:w="1171" w:type="dxa"/>
            <w:tcBorders>
              <w:top w:val="nil"/>
              <w:left w:val="nil"/>
              <w:bottom w:val="single" w:sz="4" w:space="0" w:color="000000"/>
              <w:right w:val="single" w:sz="4" w:space="0" w:color="000000"/>
            </w:tcBorders>
            <w:shd w:val="clear" w:color="auto" w:fill="auto"/>
            <w:vAlign w:val="center"/>
          </w:tcPr>
          <w:p w14:paraId="2C1AB142"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15,898</w:t>
            </w:r>
          </w:p>
        </w:tc>
        <w:tc>
          <w:tcPr>
            <w:tcW w:w="1057" w:type="dxa"/>
            <w:tcBorders>
              <w:top w:val="nil"/>
              <w:left w:val="nil"/>
              <w:bottom w:val="single" w:sz="4" w:space="0" w:color="000000"/>
              <w:right w:val="single" w:sz="4" w:space="0" w:color="000000"/>
            </w:tcBorders>
            <w:shd w:val="clear" w:color="auto" w:fill="auto"/>
            <w:vAlign w:val="center"/>
          </w:tcPr>
          <w:p w14:paraId="170F074C"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79,492</w:t>
            </w:r>
          </w:p>
        </w:tc>
      </w:tr>
      <w:tr w:rsidR="0020529A" w14:paraId="2EA96D5D"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73A1E71C"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La Carlota City</w:t>
            </w:r>
          </w:p>
        </w:tc>
        <w:tc>
          <w:tcPr>
            <w:tcW w:w="1275" w:type="dxa"/>
            <w:tcBorders>
              <w:top w:val="nil"/>
              <w:left w:val="nil"/>
              <w:bottom w:val="single" w:sz="4" w:space="0" w:color="000000"/>
              <w:right w:val="single" w:sz="4" w:space="0" w:color="000000"/>
            </w:tcBorders>
            <w:shd w:val="clear" w:color="auto" w:fill="auto"/>
            <w:vAlign w:val="center"/>
          </w:tcPr>
          <w:p w14:paraId="252C0027"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w:t>
            </w:r>
          </w:p>
        </w:tc>
        <w:tc>
          <w:tcPr>
            <w:tcW w:w="1134" w:type="dxa"/>
            <w:tcBorders>
              <w:top w:val="nil"/>
              <w:left w:val="nil"/>
              <w:bottom w:val="single" w:sz="4" w:space="0" w:color="000000"/>
              <w:right w:val="single" w:sz="4" w:space="0" w:color="000000"/>
            </w:tcBorders>
            <w:shd w:val="clear" w:color="auto" w:fill="auto"/>
            <w:vAlign w:val="center"/>
          </w:tcPr>
          <w:p w14:paraId="240EB010"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1,069</w:t>
            </w:r>
          </w:p>
        </w:tc>
        <w:tc>
          <w:tcPr>
            <w:tcW w:w="1134" w:type="dxa"/>
            <w:tcBorders>
              <w:top w:val="nil"/>
              <w:left w:val="nil"/>
              <w:bottom w:val="single" w:sz="4" w:space="0" w:color="000000"/>
              <w:right w:val="single" w:sz="4" w:space="0" w:color="000000"/>
            </w:tcBorders>
            <w:shd w:val="clear" w:color="auto" w:fill="auto"/>
            <w:vAlign w:val="center"/>
          </w:tcPr>
          <w:p w14:paraId="62850BC2"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5,345</w:t>
            </w:r>
          </w:p>
        </w:tc>
        <w:tc>
          <w:tcPr>
            <w:tcW w:w="1276" w:type="dxa"/>
            <w:tcBorders>
              <w:top w:val="nil"/>
              <w:left w:val="nil"/>
              <w:bottom w:val="single" w:sz="4" w:space="0" w:color="000000"/>
              <w:right w:val="single" w:sz="4" w:space="0" w:color="000000"/>
            </w:tcBorders>
            <w:shd w:val="clear" w:color="auto" w:fill="auto"/>
            <w:vAlign w:val="center"/>
          </w:tcPr>
          <w:p w14:paraId="2521094A"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14</w:t>
            </w:r>
          </w:p>
        </w:tc>
        <w:tc>
          <w:tcPr>
            <w:tcW w:w="1171" w:type="dxa"/>
            <w:tcBorders>
              <w:top w:val="nil"/>
              <w:left w:val="nil"/>
              <w:bottom w:val="single" w:sz="4" w:space="0" w:color="000000"/>
              <w:right w:val="single" w:sz="4" w:space="0" w:color="000000"/>
            </w:tcBorders>
            <w:shd w:val="clear" w:color="auto" w:fill="auto"/>
            <w:vAlign w:val="center"/>
          </w:tcPr>
          <w:p w14:paraId="7F6E205D"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13,333</w:t>
            </w:r>
          </w:p>
        </w:tc>
        <w:tc>
          <w:tcPr>
            <w:tcW w:w="1057" w:type="dxa"/>
            <w:tcBorders>
              <w:top w:val="nil"/>
              <w:left w:val="nil"/>
              <w:bottom w:val="single" w:sz="4" w:space="0" w:color="000000"/>
              <w:right w:val="single" w:sz="4" w:space="0" w:color="000000"/>
            </w:tcBorders>
            <w:shd w:val="clear" w:color="auto" w:fill="auto"/>
            <w:vAlign w:val="center"/>
          </w:tcPr>
          <w:p w14:paraId="3EDC90BD"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66,664</w:t>
            </w:r>
          </w:p>
        </w:tc>
      </w:tr>
      <w:tr w:rsidR="0020529A" w14:paraId="40AF4048"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34D5664C"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 xml:space="preserve">San Carlos City </w:t>
            </w:r>
          </w:p>
        </w:tc>
        <w:tc>
          <w:tcPr>
            <w:tcW w:w="1275" w:type="dxa"/>
            <w:tcBorders>
              <w:top w:val="nil"/>
              <w:left w:val="nil"/>
              <w:bottom w:val="single" w:sz="4" w:space="0" w:color="000000"/>
              <w:right w:val="single" w:sz="4" w:space="0" w:color="000000"/>
            </w:tcBorders>
            <w:shd w:val="clear" w:color="auto" w:fill="auto"/>
            <w:vAlign w:val="center"/>
          </w:tcPr>
          <w:p w14:paraId="79C23F75"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w:t>
            </w:r>
          </w:p>
        </w:tc>
        <w:tc>
          <w:tcPr>
            <w:tcW w:w="1134" w:type="dxa"/>
            <w:tcBorders>
              <w:top w:val="nil"/>
              <w:left w:val="nil"/>
              <w:bottom w:val="single" w:sz="4" w:space="0" w:color="000000"/>
              <w:right w:val="single" w:sz="4" w:space="0" w:color="000000"/>
            </w:tcBorders>
            <w:shd w:val="clear" w:color="auto" w:fill="auto"/>
            <w:vAlign w:val="center"/>
          </w:tcPr>
          <w:p w14:paraId="2C096125"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2,847</w:t>
            </w:r>
          </w:p>
        </w:tc>
        <w:tc>
          <w:tcPr>
            <w:tcW w:w="1134" w:type="dxa"/>
            <w:tcBorders>
              <w:top w:val="nil"/>
              <w:left w:val="nil"/>
              <w:bottom w:val="single" w:sz="4" w:space="0" w:color="000000"/>
              <w:right w:val="single" w:sz="4" w:space="0" w:color="000000"/>
            </w:tcBorders>
            <w:shd w:val="clear" w:color="auto" w:fill="auto"/>
            <w:vAlign w:val="center"/>
          </w:tcPr>
          <w:p w14:paraId="7EE082CF"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14,234</w:t>
            </w:r>
          </w:p>
        </w:tc>
        <w:tc>
          <w:tcPr>
            <w:tcW w:w="1276" w:type="dxa"/>
            <w:tcBorders>
              <w:top w:val="nil"/>
              <w:left w:val="nil"/>
              <w:bottom w:val="single" w:sz="4" w:space="0" w:color="000000"/>
              <w:right w:val="single" w:sz="4" w:space="0" w:color="000000"/>
            </w:tcBorders>
            <w:shd w:val="clear" w:color="auto" w:fill="auto"/>
            <w:vAlign w:val="center"/>
          </w:tcPr>
          <w:p w14:paraId="06072C26"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86</w:t>
            </w:r>
          </w:p>
        </w:tc>
        <w:tc>
          <w:tcPr>
            <w:tcW w:w="1171" w:type="dxa"/>
            <w:tcBorders>
              <w:top w:val="nil"/>
              <w:left w:val="nil"/>
              <w:bottom w:val="single" w:sz="4" w:space="0" w:color="000000"/>
              <w:right w:val="single" w:sz="4" w:space="0" w:color="000000"/>
            </w:tcBorders>
            <w:shd w:val="clear" w:color="auto" w:fill="auto"/>
            <w:vAlign w:val="center"/>
          </w:tcPr>
          <w:p w14:paraId="5C35657A"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26,530</w:t>
            </w:r>
          </w:p>
        </w:tc>
        <w:tc>
          <w:tcPr>
            <w:tcW w:w="1057" w:type="dxa"/>
            <w:tcBorders>
              <w:top w:val="nil"/>
              <w:left w:val="nil"/>
              <w:bottom w:val="single" w:sz="4" w:space="0" w:color="000000"/>
              <w:right w:val="single" w:sz="4" w:space="0" w:color="000000"/>
            </w:tcBorders>
            <w:shd w:val="clear" w:color="auto" w:fill="auto"/>
            <w:vAlign w:val="center"/>
          </w:tcPr>
          <w:p w14:paraId="0782D197"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132,650</w:t>
            </w:r>
          </w:p>
        </w:tc>
      </w:tr>
      <w:tr w:rsidR="0020529A" w14:paraId="0623EE6B"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EDEDED"/>
            <w:vAlign w:val="center"/>
          </w:tcPr>
          <w:p w14:paraId="1E41ED5D"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 xml:space="preserve">Region VII </w:t>
            </w:r>
          </w:p>
          <w:p w14:paraId="623BCF24"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(Negros Oriental)</w:t>
            </w:r>
          </w:p>
        </w:tc>
        <w:tc>
          <w:tcPr>
            <w:tcW w:w="1275" w:type="dxa"/>
            <w:tcBorders>
              <w:top w:val="nil"/>
              <w:left w:val="nil"/>
              <w:bottom w:val="single" w:sz="4" w:space="0" w:color="000000"/>
              <w:right w:val="single" w:sz="4" w:space="0" w:color="000000"/>
            </w:tcBorders>
            <w:shd w:val="clear" w:color="auto" w:fill="EDEDED"/>
            <w:vAlign w:val="center"/>
          </w:tcPr>
          <w:p w14:paraId="2B86876C"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4</w:t>
            </w:r>
          </w:p>
        </w:tc>
        <w:tc>
          <w:tcPr>
            <w:tcW w:w="1134" w:type="dxa"/>
            <w:tcBorders>
              <w:top w:val="nil"/>
              <w:left w:val="nil"/>
              <w:bottom w:val="single" w:sz="4" w:space="0" w:color="000000"/>
              <w:right w:val="single" w:sz="4" w:space="0" w:color="000000"/>
            </w:tcBorders>
            <w:shd w:val="clear" w:color="auto" w:fill="EDEDED"/>
            <w:vAlign w:val="center"/>
          </w:tcPr>
          <w:p w14:paraId="630610ED"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3,818</w:t>
            </w:r>
          </w:p>
        </w:tc>
        <w:tc>
          <w:tcPr>
            <w:tcW w:w="1134" w:type="dxa"/>
            <w:tcBorders>
              <w:top w:val="nil"/>
              <w:left w:val="nil"/>
              <w:bottom w:val="single" w:sz="4" w:space="0" w:color="000000"/>
              <w:right w:val="single" w:sz="4" w:space="0" w:color="000000"/>
            </w:tcBorders>
            <w:shd w:val="clear" w:color="auto" w:fill="EDEDED"/>
            <w:vAlign w:val="center"/>
          </w:tcPr>
          <w:p w14:paraId="7AC43401"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19,091</w:t>
            </w:r>
          </w:p>
        </w:tc>
        <w:tc>
          <w:tcPr>
            <w:tcW w:w="1276" w:type="dxa"/>
            <w:tcBorders>
              <w:top w:val="nil"/>
              <w:left w:val="nil"/>
              <w:bottom w:val="single" w:sz="4" w:space="0" w:color="000000"/>
              <w:right w:val="single" w:sz="4" w:space="0" w:color="000000"/>
            </w:tcBorders>
            <w:shd w:val="clear" w:color="auto" w:fill="EDEDED"/>
            <w:vAlign w:val="center"/>
          </w:tcPr>
          <w:p w14:paraId="540BF762"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12</w:t>
            </w:r>
          </w:p>
        </w:tc>
        <w:tc>
          <w:tcPr>
            <w:tcW w:w="1171" w:type="dxa"/>
            <w:tcBorders>
              <w:top w:val="nil"/>
              <w:left w:val="nil"/>
              <w:bottom w:val="single" w:sz="4" w:space="0" w:color="000000"/>
              <w:right w:val="single" w:sz="4" w:space="0" w:color="000000"/>
            </w:tcBorders>
            <w:shd w:val="clear" w:color="auto" w:fill="EDEDED"/>
            <w:vAlign w:val="center"/>
          </w:tcPr>
          <w:p w14:paraId="6A1E4F87"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11,764</w:t>
            </w:r>
          </w:p>
        </w:tc>
        <w:tc>
          <w:tcPr>
            <w:tcW w:w="1057" w:type="dxa"/>
            <w:tcBorders>
              <w:top w:val="nil"/>
              <w:left w:val="nil"/>
              <w:bottom w:val="single" w:sz="4" w:space="0" w:color="000000"/>
              <w:right w:val="single" w:sz="4" w:space="0" w:color="000000"/>
            </w:tcBorders>
            <w:shd w:val="clear" w:color="auto" w:fill="EDEDED"/>
            <w:vAlign w:val="center"/>
          </w:tcPr>
          <w:p w14:paraId="27DDE196"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58,822</w:t>
            </w:r>
          </w:p>
        </w:tc>
      </w:tr>
      <w:tr w:rsidR="0020529A" w14:paraId="31CC1518"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2B7E37D1"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 xml:space="preserve">Canlaon City </w:t>
            </w:r>
          </w:p>
        </w:tc>
        <w:tc>
          <w:tcPr>
            <w:tcW w:w="1275" w:type="dxa"/>
            <w:tcBorders>
              <w:top w:val="nil"/>
              <w:left w:val="nil"/>
              <w:bottom w:val="single" w:sz="4" w:space="0" w:color="000000"/>
              <w:right w:val="single" w:sz="4" w:space="0" w:color="000000"/>
            </w:tcBorders>
            <w:shd w:val="clear" w:color="auto" w:fill="auto"/>
            <w:vAlign w:val="center"/>
          </w:tcPr>
          <w:p w14:paraId="24302891"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4</w:t>
            </w:r>
          </w:p>
        </w:tc>
        <w:tc>
          <w:tcPr>
            <w:tcW w:w="1134" w:type="dxa"/>
            <w:tcBorders>
              <w:top w:val="nil"/>
              <w:left w:val="nil"/>
              <w:bottom w:val="single" w:sz="4" w:space="0" w:color="000000"/>
              <w:right w:val="single" w:sz="4" w:space="0" w:color="000000"/>
            </w:tcBorders>
            <w:shd w:val="clear" w:color="auto" w:fill="auto"/>
            <w:vAlign w:val="center"/>
          </w:tcPr>
          <w:p w14:paraId="6690FBC5"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3,818</w:t>
            </w:r>
          </w:p>
        </w:tc>
        <w:tc>
          <w:tcPr>
            <w:tcW w:w="1134" w:type="dxa"/>
            <w:tcBorders>
              <w:top w:val="nil"/>
              <w:left w:val="nil"/>
              <w:bottom w:val="single" w:sz="4" w:space="0" w:color="000000"/>
              <w:right w:val="single" w:sz="4" w:space="0" w:color="000000"/>
            </w:tcBorders>
            <w:shd w:val="clear" w:color="auto" w:fill="auto"/>
            <w:vAlign w:val="center"/>
          </w:tcPr>
          <w:p w14:paraId="63179E23"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19,091</w:t>
            </w:r>
          </w:p>
        </w:tc>
        <w:tc>
          <w:tcPr>
            <w:tcW w:w="1276" w:type="dxa"/>
            <w:tcBorders>
              <w:top w:val="nil"/>
              <w:left w:val="nil"/>
              <w:bottom w:val="single" w:sz="4" w:space="0" w:color="000000"/>
              <w:right w:val="single" w:sz="4" w:space="0" w:color="000000"/>
            </w:tcBorders>
            <w:shd w:val="clear" w:color="auto" w:fill="auto"/>
            <w:vAlign w:val="center"/>
          </w:tcPr>
          <w:p w14:paraId="1C1AA24C"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12</w:t>
            </w:r>
          </w:p>
        </w:tc>
        <w:tc>
          <w:tcPr>
            <w:tcW w:w="1171" w:type="dxa"/>
            <w:tcBorders>
              <w:top w:val="nil"/>
              <w:left w:val="nil"/>
              <w:bottom w:val="single" w:sz="4" w:space="0" w:color="000000"/>
              <w:right w:val="single" w:sz="4" w:space="0" w:color="000000"/>
            </w:tcBorders>
            <w:shd w:val="clear" w:color="auto" w:fill="auto"/>
            <w:vAlign w:val="center"/>
          </w:tcPr>
          <w:p w14:paraId="44D10192"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11,764</w:t>
            </w:r>
          </w:p>
        </w:tc>
        <w:tc>
          <w:tcPr>
            <w:tcW w:w="1057" w:type="dxa"/>
            <w:tcBorders>
              <w:top w:val="nil"/>
              <w:left w:val="nil"/>
              <w:bottom w:val="single" w:sz="4" w:space="0" w:color="000000"/>
              <w:right w:val="single" w:sz="4" w:space="0" w:color="000000"/>
            </w:tcBorders>
            <w:shd w:val="clear" w:color="auto" w:fill="auto"/>
            <w:vAlign w:val="center"/>
          </w:tcPr>
          <w:p w14:paraId="21360E37"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58,822</w:t>
            </w:r>
          </w:p>
        </w:tc>
      </w:tr>
    </w:tbl>
    <w:p w14:paraId="7D520DA3"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color w:val="002060"/>
          <w:sz w:val="24"/>
          <w:szCs w:val="24"/>
        </w:rPr>
      </w:pPr>
    </w:p>
    <w:p w14:paraId="4FE210D6" w14:textId="77777777" w:rsidR="0020529A" w:rsidRDefault="006F3BB4">
      <w:pPr>
        <w:spacing w:after="0" w:line="240" w:lineRule="auto"/>
        <w:ind w:left="540"/>
        <w:jc w:val="both"/>
        <w:rPr>
          <w:rFonts w:ascii="Arial" w:eastAsia="Arial" w:hAnsi="Arial" w:cs="Arial"/>
          <w:sz w:val="24"/>
          <w:szCs w:val="24"/>
          <w:highlight w:val="white"/>
        </w:rPr>
      </w:pPr>
      <w:r>
        <w:rPr>
          <w:rFonts w:ascii="Arial" w:eastAsia="Arial" w:hAnsi="Arial" w:cs="Arial"/>
          <w:sz w:val="24"/>
          <w:szCs w:val="24"/>
          <w:highlight w:val="white"/>
        </w:rPr>
        <w:t>A total of </w:t>
      </w:r>
      <w:r>
        <w:rPr>
          <w:rFonts w:ascii="Arial" w:eastAsia="Arial" w:hAnsi="Arial" w:cs="Arial"/>
          <w:b/>
          <w:sz w:val="24"/>
          <w:szCs w:val="24"/>
          <w:highlight w:val="white"/>
        </w:rPr>
        <w:t xml:space="preserve">₱9,965,150.00 </w:t>
      </w:r>
      <w:r>
        <w:rPr>
          <w:rFonts w:ascii="Arial" w:eastAsia="Arial" w:hAnsi="Arial" w:cs="Arial"/>
          <w:sz w:val="24"/>
          <w:szCs w:val="24"/>
          <w:highlight w:val="white"/>
        </w:rPr>
        <w:t xml:space="preserve">worth of </w:t>
      </w:r>
      <w:r>
        <w:rPr>
          <w:rFonts w:ascii="Arial" w:eastAsia="Arial" w:hAnsi="Arial" w:cs="Arial"/>
          <w:b/>
          <w:sz w:val="24"/>
          <w:szCs w:val="24"/>
          <w:highlight w:val="white"/>
        </w:rPr>
        <w:t>family food packs (FFPs)</w:t>
      </w:r>
      <w:r>
        <w:rPr>
          <w:rFonts w:ascii="Arial" w:eastAsia="Arial" w:hAnsi="Arial" w:cs="Arial"/>
          <w:sz w:val="24"/>
          <w:szCs w:val="24"/>
          <w:highlight w:val="white"/>
        </w:rPr>
        <w:t xml:space="preserve"> is projected to be provided to </w:t>
      </w:r>
      <w:r>
        <w:rPr>
          <w:rFonts w:ascii="Arial" w:eastAsia="Arial" w:hAnsi="Arial" w:cs="Arial"/>
          <w:b/>
          <w:sz w:val="24"/>
          <w:szCs w:val="24"/>
          <w:highlight w:val="white"/>
        </w:rPr>
        <w:t xml:space="preserve">15,331 families </w:t>
      </w:r>
      <w:r>
        <w:rPr>
          <w:rFonts w:ascii="Arial" w:eastAsia="Arial" w:hAnsi="Arial" w:cs="Arial"/>
          <w:sz w:val="24"/>
          <w:szCs w:val="24"/>
          <w:highlight w:val="white"/>
        </w:rPr>
        <w:t>in </w:t>
      </w:r>
      <w:r>
        <w:rPr>
          <w:rFonts w:ascii="Arial" w:eastAsia="Arial" w:hAnsi="Arial" w:cs="Arial"/>
          <w:b/>
          <w:sz w:val="24"/>
          <w:szCs w:val="24"/>
          <w:highlight w:val="white"/>
        </w:rPr>
        <w:t xml:space="preserve">Regions VI </w:t>
      </w:r>
      <w:r>
        <w:rPr>
          <w:rFonts w:ascii="Arial" w:eastAsia="Arial" w:hAnsi="Arial" w:cs="Arial"/>
          <w:sz w:val="24"/>
          <w:szCs w:val="24"/>
          <w:highlight w:val="white"/>
        </w:rPr>
        <w:t xml:space="preserve">and </w:t>
      </w:r>
      <w:r>
        <w:rPr>
          <w:rFonts w:ascii="Arial" w:eastAsia="Arial" w:hAnsi="Arial" w:cs="Arial"/>
          <w:b/>
          <w:sz w:val="24"/>
          <w:szCs w:val="24"/>
          <w:highlight w:val="white"/>
        </w:rPr>
        <w:t>VII </w:t>
      </w:r>
      <w:r>
        <w:rPr>
          <w:rFonts w:ascii="Arial" w:eastAsia="Arial" w:hAnsi="Arial" w:cs="Arial"/>
          <w:sz w:val="24"/>
          <w:szCs w:val="24"/>
          <w:highlight w:val="white"/>
        </w:rPr>
        <w:t xml:space="preserve">based on the 4-km PDZ. A massive eruption would require </w:t>
      </w:r>
      <w:r>
        <w:rPr>
          <w:rFonts w:ascii="Arial" w:eastAsia="Arial" w:hAnsi="Arial" w:cs="Arial"/>
          <w:b/>
          <w:sz w:val="24"/>
          <w:szCs w:val="24"/>
          <w:highlight w:val="white"/>
        </w:rPr>
        <w:t>105,767 FFPs</w:t>
      </w:r>
      <w:r>
        <w:rPr>
          <w:rFonts w:ascii="Arial" w:eastAsia="Arial" w:hAnsi="Arial" w:cs="Arial"/>
          <w:sz w:val="24"/>
          <w:szCs w:val="24"/>
          <w:highlight w:val="white"/>
        </w:rPr>
        <w:t xml:space="preserve"> for the same number of families that would be directly affected, costing </w:t>
      </w:r>
      <w:r>
        <w:rPr>
          <w:rFonts w:ascii="Arial" w:eastAsia="Arial" w:hAnsi="Arial" w:cs="Arial"/>
          <w:b/>
          <w:sz w:val="24"/>
          <w:szCs w:val="24"/>
          <w:highlight w:val="white"/>
        </w:rPr>
        <w:t>₱68,748,550.00</w:t>
      </w:r>
      <w:r>
        <w:rPr>
          <w:rFonts w:ascii="Arial" w:eastAsia="Arial" w:hAnsi="Arial" w:cs="Arial"/>
          <w:sz w:val="24"/>
          <w:szCs w:val="24"/>
          <w:highlight w:val="white"/>
        </w:rPr>
        <w:t xml:space="preserve"> for a two (2)-day food requirement for a family of five (5) members (see Table 2).</w:t>
      </w:r>
    </w:p>
    <w:p w14:paraId="2EACCDDD"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i/>
          <w:color w:val="000000"/>
          <w:sz w:val="24"/>
          <w:szCs w:val="24"/>
          <w:highlight w:val="white"/>
        </w:rPr>
      </w:pPr>
    </w:p>
    <w:p w14:paraId="3662753F" w14:textId="77777777" w:rsidR="0020529A" w:rsidRDefault="006F3BB4">
      <w:pPr>
        <w:pBdr>
          <w:top w:val="nil"/>
          <w:left w:val="nil"/>
          <w:bottom w:val="nil"/>
          <w:right w:val="nil"/>
          <w:between w:val="nil"/>
        </w:pBdr>
        <w:spacing w:after="0" w:line="240" w:lineRule="auto"/>
        <w:ind w:left="540"/>
        <w:jc w:val="both"/>
        <w:rPr>
          <w:rFonts w:ascii="Arial" w:eastAsia="Arial" w:hAnsi="Arial" w:cs="Arial"/>
          <w:b/>
          <w:color w:val="002060"/>
          <w:sz w:val="20"/>
          <w:szCs w:val="20"/>
        </w:rPr>
      </w:pPr>
      <w:r>
        <w:rPr>
          <w:rFonts w:ascii="Arial" w:eastAsia="Arial" w:hAnsi="Arial" w:cs="Arial"/>
          <w:b/>
          <w:i/>
          <w:color w:val="000000"/>
          <w:sz w:val="20"/>
          <w:szCs w:val="20"/>
          <w:highlight w:val="white"/>
        </w:rPr>
        <w:t>Table 2. Projected FFPs Requirement</w:t>
      </w:r>
    </w:p>
    <w:tbl>
      <w:tblPr>
        <w:tblStyle w:val="afffa"/>
        <w:tblW w:w="921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58" w:type="dxa"/>
          <w:bottom w:w="0" w:type="dxa"/>
          <w:right w:w="58" w:type="dxa"/>
        </w:tblCellMar>
        <w:tblLook w:val="0400" w:firstRow="0" w:lastRow="0" w:firstColumn="0" w:lastColumn="0" w:noHBand="0" w:noVBand="1"/>
      </w:tblPr>
      <w:tblGrid>
        <w:gridCol w:w="2834"/>
        <w:gridCol w:w="1568"/>
        <w:gridCol w:w="1493"/>
        <w:gridCol w:w="1415"/>
        <w:gridCol w:w="1903"/>
      </w:tblGrid>
      <w:tr w:rsidR="0020529A" w14:paraId="42C4CF31" w14:textId="77777777" w:rsidTr="00753FE8">
        <w:trPr>
          <w:trHeight w:val="20"/>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A38C32E"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Affected Areas </w:t>
            </w:r>
          </w:p>
        </w:tc>
        <w:tc>
          <w:tcPr>
            <w:tcW w:w="3061" w:type="dxa"/>
            <w:gridSpan w:val="2"/>
            <w:tcBorders>
              <w:top w:val="single" w:sz="4" w:space="0" w:color="000000"/>
              <w:left w:val="nil"/>
              <w:bottom w:val="single" w:sz="4" w:space="0" w:color="000000"/>
              <w:right w:val="single" w:sz="4" w:space="0" w:color="000000"/>
            </w:tcBorders>
            <w:shd w:val="clear" w:color="auto" w:fill="BFBFBF"/>
            <w:vAlign w:val="center"/>
          </w:tcPr>
          <w:p w14:paraId="6EA4BEFC"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4-km PDZ</w:t>
            </w:r>
          </w:p>
        </w:tc>
        <w:tc>
          <w:tcPr>
            <w:tcW w:w="3318" w:type="dxa"/>
            <w:gridSpan w:val="2"/>
            <w:tcBorders>
              <w:top w:val="single" w:sz="4" w:space="0" w:color="000000"/>
              <w:left w:val="nil"/>
              <w:bottom w:val="single" w:sz="4" w:space="0" w:color="000000"/>
              <w:right w:val="single" w:sz="4" w:space="0" w:color="000000"/>
            </w:tcBorders>
            <w:shd w:val="clear" w:color="auto" w:fill="BFBFBF"/>
            <w:vAlign w:val="center"/>
          </w:tcPr>
          <w:p w14:paraId="413FAC61"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PSA 2020</w:t>
            </w:r>
          </w:p>
        </w:tc>
      </w:tr>
      <w:tr w:rsidR="0020529A" w14:paraId="0E81F075" w14:textId="77777777" w:rsidTr="00753FE8">
        <w:trPr>
          <w:trHeight w:val="20"/>
        </w:trPr>
        <w:tc>
          <w:tcPr>
            <w:tcW w:w="283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134D6F5C" w14:textId="77777777" w:rsidR="0020529A" w:rsidRDefault="0020529A">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1568" w:type="dxa"/>
            <w:tcBorders>
              <w:top w:val="nil"/>
              <w:left w:val="nil"/>
              <w:bottom w:val="single" w:sz="4" w:space="0" w:color="000000"/>
              <w:right w:val="single" w:sz="4" w:space="0" w:color="000000"/>
            </w:tcBorders>
            <w:shd w:val="clear" w:color="auto" w:fill="BFBFBF"/>
            <w:vAlign w:val="center"/>
          </w:tcPr>
          <w:p w14:paraId="1CB5C6C2"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Families </w:t>
            </w:r>
          </w:p>
        </w:tc>
        <w:tc>
          <w:tcPr>
            <w:tcW w:w="1493" w:type="dxa"/>
            <w:tcBorders>
              <w:top w:val="nil"/>
              <w:left w:val="nil"/>
              <w:bottom w:val="single" w:sz="4" w:space="0" w:color="000000"/>
              <w:right w:val="single" w:sz="4" w:space="0" w:color="000000"/>
            </w:tcBorders>
            <w:shd w:val="clear" w:color="auto" w:fill="BFBFBF"/>
            <w:vAlign w:val="center"/>
          </w:tcPr>
          <w:p w14:paraId="0496CC02"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FFP Cost </w:t>
            </w:r>
          </w:p>
        </w:tc>
        <w:tc>
          <w:tcPr>
            <w:tcW w:w="1415" w:type="dxa"/>
            <w:tcBorders>
              <w:top w:val="nil"/>
              <w:left w:val="nil"/>
              <w:bottom w:val="single" w:sz="4" w:space="0" w:color="000000"/>
              <w:right w:val="single" w:sz="4" w:space="0" w:color="000000"/>
            </w:tcBorders>
            <w:shd w:val="clear" w:color="auto" w:fill="BFBFBF"/>
            <w:vAlign w:val="center"/>
          </w:tcPr>
          <w:p w14:paraId="281D1FCD"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Families </w:t>
            </w:r>
          </w:p>
        </w:tc>
        <w:tc>
          <w:tcPr>
            <w:tcW w:w="1903" w:type="dxa"/>
            <w:tcBorders>
              <w:top w:val="nil"/>
              <w:left w:val="nil"/>
              <w:bottom w:val="single" w:sz="4" w:space="0" w:color="000000"/>
              <w:right w:val="single" w:sz="4" w:space="0" w:color="000000"/>
            </w:tcBorders>
            <w:shd w:val="clear" w:color="auto" w:fill="BFBFBF"/>
            <w:vAlign w:val="center"/>
          </w:tcPr>
          <w:p w14:paraId="0059C25C"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FFP Cost </w:t>
            </w:r>
          </w:p>
        </w:tc>
      </w:tr>
      <w:tr w:rsidR="0020529A" w14:paraId="3B70DC7B"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DEEBF6"/>
            <w:vAlign w:val="center"/>
          </w:tcPr>
          <w:p w14:paraId="29F2725A"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TOTAL </w:t>
            </w:r>
          </w:p>
        </w:tc>
        <w:tc>
          <w:tcPr>
            <w:tcW w:w="1568" w:type="dxa"/>
            <w:tcBorders>
              <w:top w:val="nil"/>
              <w:left w:val="nil"/>
              <w:bottom w:val="single" w:sz="4" w:space="0" w:color="000000"/>
              <w:right w:val="single" w:sz="4" w:space="0" w:color="000000"/>
            </w:tcBorders>
            <w:shd w:val="clear" w:color="auto" w:fill="DEEBF6"/>
            <w:vAlign w:val="center"/>
          </w:tcPr>
          <w:p w14:paraId="5519B13B"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15,331</w:t>
            </w:r>
          </w:p>
        </w:tc>
        <w:tc>
          <w:tcPr>
            <w:tcW w:w="1493" w:type="dxa"/>
            <w:tcBorders>
              <w:top w:val="nil"/>
              <w:left w:val="nil"/>
              <w:bottom w:val="single" w:sz="4" w:space="0" w:color="000000"/>
              <w:right w:val="single" w:sz="4" w:space="0" w:color="000000"/>
            </w:tcBorders>
            <w:shd w:val="clear" w:color="auto" w:fill="DEEBF6"/>
            <w:vAlign w:val="center"/>
          </w:tcPr>
          <w:p w14:paraId="55B0FBE0"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9,965,150.00</w:t>
            </w:r>
          </w:p>
        </w:tc>
        <w:tc>
          <w:tcPr>
            <w:tcW w:w="1415" w:type="dxa"/>
            <w:tcBorders>
              <w:top w:val="nil"/>
              <w:left w:val="nil"/>
              <w:bottom w:val="single" w:sz="4" w:space="0" w:color="000000"/>
              <w:right w:val="single" w:sz="4" w:space="0" w:color="000000"/>
            </w:tcBorders>
            <w:shd w:val="clear" w:color="auto" w:fill="DEEBF6"/>
            <w:vAlign w:val="center"/>
          </w:tcPr>
          <w:p w14:paraId="01BB993E"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105,767</w:t>
            </w:r>
          </w:p>
        </w:tc>
        <w:tc>
          <w:tcPr>
            <w:tcW w:w="1903" w:type="dxa"/>
            <w:tcBorders>
              <w:top w:val="nil"/>
              <w:left w:val="nil"/>
              <w:bottom w:val="single" w:sz="4" w:space="0" w:color="000000"/>
              <w:right w:val="single" w:sz="4" w:space="0" w:color="000000"/>
            </w:tcBorders>
            <w:shd w:val="clear" w:color="auto" w:fill="DEEBF6"/>
            <w:vAlign w:val="center"/>
          </w:tcPr>
          <w:p w14:paraId="14F2A356"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68,748,550.00</w:t>
            </w:r>
          </w:p>
        </w:tc>
      </w:tr>
      <w:tr w:rsidR="0020529A" w14:paraId="41430E02"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EDEDED"/>
            <w:vAlign w:val="center"/>
          </w:tcPr>
          <w:p w14:paraId="73C73B0A"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 xml:space="preserve">Region VI </w:t>
            </w:r>
          </w:p>
          <w:p w14:paraId="3D30DF1A"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 xml:space="preserve">(Negros Occidental) </w:t>
            </w:r>
          </w:p>
        </w:tc>
        <w:tc>
          <w:tcPr>
            <w:tcW w:w="1568" w:type="dxa"/>
            <w:tcBorders>
              <w:top w:val="nil"/>
              <w:left w:val="nil"/>
              <w:bottom w:val="single" w:sz="4" w:space="0" w:color="000000"/>
              <w:right w:val="single" w:sz="4" w:space="0" w:color="000000"/>
            </w:tcBorders>
            <w:shd w:val="clear" w:color="auto" w:fill="EDEDED"/>
            <w:vAlign w:val="center"/>
          </w:tcPr>
          <w:p w14:paraId="16EBB4A6"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11,513</w:t>
            </w:r>
          </w:p>
        </w:tc>
        <w:tc>
          <w:tcPr>
            <w:tcW w:w="1493" w:type="dxa"/>
            <w:tcBorders>
              <w:top w:val="nil"/>
              <w:left w:val="nil"/>
              <w:bottom w:val="single" w:sz="4" w:space="0" w:color="000000"/>
              <w:right w:val="single" w:sz="4" w:space="0" w:color="000000"/>
            </w:tcBorders>
            <w:shd w:val="clear" w:color="auto" w:fill="EDEDED"/>
            <w:vAlign w:val="center"/>
          </w:tcPr>
          <w:p w14:paraId="6B7E13BA"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7,483,450.00</w:t>
            </w:r>
          </w:p>
        </w:tc>
        <w:tc>
          <w:tcPr>
            <w:tcW w:w="1415" w:type="dxa"/>
            <w:tcBorders>
              <w:top w:val="nil"/>
              <w:left w:val="nil"/>
              <w:bottom w:val="single" w:sz="4" w:space="0" w:color="000000"/>
              <w:right w:val="single" w:sz="4" w:space="0" w:color="000000"/>
            </w:tcBorders>
            <w:shd w:val="clear" w:color="auto" w:fill="EDEDED"/>
            <w:vAlign w:val="center"/>
          </w:tcPr>
          <w:p w14:paraId="5EC7B517"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94,003</w:t>
            </w:r>
          </w:p>
        </w:tc>
        <w:tc>
          <w:tcPr>
            <w:tcW w:w="1903" w:type="dxa"/>
            <w:tcBorders>
              <w:top w:val="nil"/>
              <w:left w:val="nil"/>
              <w:bottom w:val="single" w:sz="4" w:space="0" w:color="000000"/>
              <w:right w:val="single" w:sz="4" w:space="0" w:color="000000"/>
            </w:tcBorders>
            <w:shd w:val="clear" w:color="auto" w:fill="EDEDED"/>
            <w:vAlign w:val="center"/>
          </w:tcPr>
          <w:p w14:paraId="2E7B0A33"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61,101,950.00</w:t>
            </w:r>
          </w:p>
        </w:tc>
      </w:tr>
      <w:tr w:rsidR="0020529A" w14:paraId="03AD6B54"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447D4781"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 xml:space="preserve">Bago City </w:t>
            </w:r>
          </w:p>
        </w:tc>
        <w:tc>
          <w:tcPr>
            <w:tcW w:w="1568" w:type="dxa"/>
            <w:tcBorders>
              <w:top w:val="nil"/>
              <w:left w:val="nil"/>
              <w:bottom w:val="single" w:sz="4" w:space="0" w:color="000000"/>
              <w:right w:val="single" w:sz="4" w:space="0" w:color="000000"/>
            </w:tcBorders>
            <w:shd w:val="clear" w:color="auto" w:fill="auto"/>
            <w:vAlign w:val="center"/>
          </w:tcPr>
          <w:p w14:paraId="152D0578"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2,683</w:t>
            </w:r>
          </w:p>
        </w:tc>
        <w:tc>
          <w:tcPr>
            <w:tcW w:w="1493" w:type="dxa"/>
            <w:tcBorders>
              <w:top w:val="nil"/>
              <w:left w:val="nil"/>
              <w:bottom w:val="single" w:sz="4" w:space="0" w:color="000000"/>
              <w:right w:val="single" w:sz="4" w:space="0" w:color="000000"/>
            </w:tcBorders>
            <w:shd w:val="clear" w:color="auto" w:fill="auto"/>
            <w:vAlign w:val="center"/>
          </w:tcPr>
          <w:p w14:paraId="7B378BC1"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1,743,950.00</w:t>
            </w:r>
          </w:p>
        </w:tc>
        <w:tc>
          <w:tcPr>
            <w:tcW w:w="1415" w:type="dxa"/>
            <w:tcBorders>
              <w:top w:val="nil"/>
              <w:left w:val="nil"/>
              <w:bottom w:val="single" w:sz="4" w:space="0" w:color="000000"/>
              <w:right w:val="single" w:sz="4" w:space="0" w:color="000000"/>
            </w:tcBorders>
            <w:shd w:val="clear" w:color="auto" w:fill="auto"/>
            <w:vAlign w:val="center"/>
          </w:tcPr>
          <w:p w14:paraId="1CF9700A"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38,242</w:t>
            </w:r>
          </w:p>
        </w:tc>
        <w:tc>
          <w:tcPr>
            <w:tcW w:w="1903" w:type="dxa"/>
            <w:tcBorders>
              <w:top w:val="nil"/>
              <w:left w:val="nil"/>
              <w:bottom w:val="single" w:sz="4" w:space="0" w:color="000000"/>
              <w:right w:val="single" w:sz="4" w:space="0" w:color="000000"/>
            </w:tcBorders>
            <w:shd w:val="clear" w:color="auto" w:fill="auto"/>
            <w:vAlign w:val="center"/>
          </w:tcPr>
          <w:p w14:paraId="284BEC1A"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24,857,300.00</w:t>
            </w:r>
          </w:p>
        </w:tc>
      </w:tr>
      <w:tr w:rsidR="0020529A" w14:paraId="3ADEEB5E"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2EFB2CBD"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La Castellana</w:t>
            </w:r>
          </w:p>
        </w:tc>
        <w:tc>
          <w:tcPr>
            <w:tcW w:w="1568" w:type="dxa"/>
            <w:tcBorders>
              <w:top w:val="nil"/>
              <w:left w:val="nil"/>
              <w:bottom w:val="single" w:sz="4" w:space="0" w:color="000000"/>
              <w:right w:val="single" w:sz="4" w:space="0" w:color="000000"/>
            </w:tcBorders>
            <w:shd w:val="clear" w:color="auto" w:fill="auto"/>
            <w:vAlign w:val="center"/>
          </w:tcPr>
          <w:p w14:paraId="74F0237A"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4,914</w:t>
            </w:r>
          </w:p>
        </w:tc>
        <w:tc>
          <w:tcPr>
            <w:tcW w:w="1493" w:type="dxa"/>
            <w:tcBorders>
              <w:top w:val="nil"/>
              <w:left w:val="nil"/>
              <w:bottom w:val="single" w:sz="4" w:space="0" w:color="000000"/>
              <w:right w:val="single" w:sz="4" w:space="0" w:color="000000"/>
            </w:tcBorders>
            <w:shd w:val="clear" w:color="auto" w:fill="auto"/>
            <w:vAlign w:val="center"/>
          </w:tcPr>
          <w:p w14:paraId="3B8DF0D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3,194,100.00</w:t>
            </w:r>
          </w:p>
        </w:tc>
        <w:tc>
          <w:tcPr>
            <w:tcW w:w="1415" w:type="dxa"/>
            <w:tcBorders>
              <w:top w:val="nil"/>
              <w:left w:val="nil"/>
              <w:bottom w:val="single" w:sz="4" w:space="0" w:color="000000"/>
              <w:right w:val="single" w:sz="4" w:space="0" w:color="000000"/>
            </w:tcBorders>
            <w:shd w:val="clear" w:color="auto" w:fill="auto"/>
            <w:vAlign w:val="center"/>
          </w:tcPr>
          <w:p w14:paraId="4F5D22C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15,898</w:t>
            </w:r>
          </w:p>
        </w:tc>
        <w:tc>
          <w:tcPr>
            <w:tcW w:w="1903" w:type="dxa"/>
            <w:tcBorders>
              <w:top w:val="nil"/>
              <w:left w:val="nil"/>
              <w:bottom w:val="single" w:sz="4" w:space="0" w:color="000000"/>
              <w:right w:val="single" w:sz="4" w:space="0" w:color="000000"/>
            </w:tcBorders>
            <w:shd w:val="clear" w:color="auto" w:fill="auto"/>
            <w:vAlign w:val="center"/>
          </w:tcPr>
          <w:p w14:paraId="430BE863"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10,333,700.00</w:t>
            </w:r>
          </w:p>
        </w:tc>
      </w:tr>
      <w:tr w:rsidR="0020529A" w14:paraId="2B84E198"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14F840FB"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La Carlota City</w:t>
            </w:r>
          </w:p>
        </w:tc>
        <w:tc>
          <w:tcPr>
            <w:tcW w:w="1568" w:type="dxa"/>
            <w:tcBorders>
              <w:top w:val="nil"/>
              <w:left w:val="nil"/>
              <w:bottom w:val="single" w:sz="4" w:space="0" w:color="000000"/>
              <w:right w:val="single" w:sz="4" w:space="0" w:color="000000"/>
            </w:tcBorders>
            <w:shd w:val="clear" w:color="auto" w:fill="auto"/>
            <w:vAlign w:val="center"/>
          </w:tcPr>
          <w:p w14:paraId="12E189C5"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1,069</w:t>
            </w:r>
          </w:p>
        </w:tc>
        <w:tc>
          <w:tcPr>
            <w:tcW w:w="1493" w:type="dxa"/>
            <w:tcBorders>
              <w:top w:val="nil"/>
              <w:left w:val="nil"/>
              <w:bottom w:val="single" w:sz="4" w:space="0" w:color="000000"/>
              <w:right w:val="single" w:sz="4" w:space="0" w:color="000000"/>
            </w:tcBorders>
            <w:shd w:val="clear" w:color="auto" w:fill="auto"/>
            <w:vAlign w:val="center"/>
          </w:tcPr>
          <w:p w14:paraId="716F00F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694,850.00</w:t>
            </w:r>
          </w:p>
        </w:tc>
        <w:tc>
          <w:tcPr>
            <w:tcW w:w="1415" w:type="dxa"/>
            <w:tcBorders>
              <w:top w:val="nil"/>
              <w:left w:val="nil"/>
              <w:bottom w:val="single" w:sz="4" w:space="0" w:color="000000"/>
              <w:right w:val="single" w:sz="4" w:space="0" w:color="000000"/>
            </w:tcBorders>
            <w:shd w:val="clear" w:color="auto" w:fill="auto"/>
            <w:vAlign w:val="center"/>
          </w:tcPr>
          <w:p w14:paraId="4A84D8A0"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13,333</w:t>
            </w:r>
          </w:p>
        </w:tc>
        <w:tc>
          <w:tcPr>
            <w:tcW w:w="1903" w:type="dxa"/>
            <w:tcBorders>
              <w:top w:val="nil"/>
              <w:left w:val="nil"/>
              <w:bottom w:val="single" w:sz="4" w:space="0" w:color="000000"/>
              <w:right w:val="single" w:sz="4" w:space="0" w:color="000000"/>
            </w:tcBorders>
            <w:shd w:val="clear" w:color="auto" w:fill="auto"/>
            <w:vAlign w:val="center"/>
          </w:tcPr>
          <w:p w14:paraId="65774452"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8,666,450.00</w:t>
            </w:r>
          </w:p>
        </w:tc>
      </w:tr>
      <w:tr w:rsidR="0020529A" w14:paraId="1F6BBB83"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23CF5BF6"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 xml:space="preserve">San Carlos City </w:t>
            </w:r>
          </w:p>
        </w:tc>
        <w:tc>
          <w:tcPr>
            <w:tcW w:w="1568" w:type="dxa"/>
            <w:tcBorders>
              <w:top w:val="nil"/>
              <w:left w:val="nil"/>
              <w:bottom w:val="single" w:sz="4" w:space="0" w:color="000000"/>
              <w:right w:val="single" w:sz="4" w:space="0" w:color="000000"/>
            </w:tcBorders>
            <w:shd w:val="clear" w:color="auto" w:fill="auto"/>
            <w:vAlign w:val="center"/>
          </w:tcPr>
          <w:p w14:paraId="6507BABE"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2,847</w:t>
            </w:r>
          </w:p>
        </w:tc>
        <w:tc>
          <w:tcPr>
            <w:tcW w:w="1493" w:type="dxa"/>
            <w:tcBorders>
              <w:top w:val="nil"/>
              <w:left w:val="nil"/>
              <w:bottom w:val="single" w:sz="4" w:space="0" w:color="000000"/>
              <w:right w:val="single" w:sz="4" w:space="0" w:color="000000"/>
            </w:tcBorders>
            <w:shd w:val="clear" w:color="auto" w:fill="auto"/>
            <w:vAlign w:val="center"/>
          </w:tcPr>
          <w:p w14:paraId="7493E4B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1,850,550.00</w:t>
            </w:r>
          </w:p>
        </w:tc>
        <w:tc>
          <w:tcPr>
            <w:tcW w:w="1415" w:type="dxa"/>
            <w:tcBorders>
              <w:top w:val="nil"/>
              <w:left w:val="nil"/>
              <w:bottom w:val="single" w:sz="4" w:space="0" w:color="000000"/>
              <w:right w:val="single" w:sz="4" w:space="0" w:color="000000"/>
            </w:tcBorders>
            <w:shd w:val="clear" w:color="auto" w:fill="auto"/>
            <w:vAlign w:val="center"/>
          </w:tcPr>
          <w:p w14:paraId="68BA0437"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26,530</w:t>
            </w:r>
          </w:p>
        </w:tc>
        <w:tc>
          <w:tcPr>
            <w:tcW w:w="1903" w:type="dxa"/>
            <w:tcBorders>
              <w:top w:val="nil"/>
              <w:left w:val="nil"/>
              <w:bottom w:val="single" w:sz="4" w:space="0" w:color="000000"/>
              <w:right w:val="single" w:sz="4" w:space="0" w:color="000000"/>
            </w:tcBorders>
            <w:shd w:val="clear" w:color="auto" w:fill="auto"/>
            <w:vAlign w:val="center"/>
          </w:tcPr>
          <w:p w14:paraId="4340939D"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17,244,500.00</w:t>
            </w:r>
          </w:p>
        </w:tc>
      </w:tr>
      <w:tr w:rsidR="0020529A" w14:paraId="2EE82A95"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EDEDED"/>
            <w:vAlign w:val="center"/>
          </w:tcPr>
          <w:p w14:paraId="03056364"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 xml:space="preserve">Region VII </w:t>
            </w:r>
          </w:p>
          <w:p w14:paraId="00C29BCB"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(Negros Oriental)</w:t>
            </w:r>
          </w:p>
        </w:tc>
        <w:tc>
          <w:tcPr>
            <w:tcW w:w="1568" w:type="dxa"/>
            <w:tcBorders>
              <w:top w:val="nil"/>
              <w:left w:val="nil"/>
              <w:bottom w:val="single" w:sz="4" w:space="0" w:color="000000"/>
              <w:right w:val="single" w:sz="4" w:space="0" w:color="000000"/>
            </w:tcBorders>
            <w:shd w:val="clear" w:color="auto" w:fill="EDEDED"/>
            <w:vAlign w:val="center"/>
          </w:tcPr>
          <w:p w14:paraId="44DF7185"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3,818</w:t>
            </w:r>
          </w:p>
        </w:tc>
        <w:tc>
          <w:tcPr>
            <w:tcW w:w="1493" w:type="dxa"/>
            <w:tcBorders>
              <w:top w:val="nil"/>
              <w:left w:val="nil"/>
              <w:bottom w:val="single" w:sz="4" w:space="0" w:color="000000"/>
              <w:right w:val="single" w:sz="4" w:space="0" w:color="000000"/>
            </w:tcBorders>
            <w:shd w:val="clear" w:color="auto" w:fill="EDEDED"/>
            <w:vAlign w:val="center"/>
          </w:tcPr>
          <w:p w14:paraId="4B12E3AF"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2,481,700.00</w:t>
            </w:r>
          </w:p>
        </w:tc>
        <w:tc>
          <w:tcPr>
            <w:tcW w:w="1415" w:type="dxa"/>
            <w:tcBorders>
              <w:top w:val="nil"/>
              <w:left w:val="nil"/>
              <w:bottom w:val="single" w:sz="4" w:space="0" w:color="000000"/>
              <w:right w:val="single" w:sz="4" w:space="0" w:color="000000"/>
            </w:tcBorders>
            <w:shd w:val="clear" w:color="auto" w:fill="EDEDED"/>
            <w:vAlign w:val="center"/>
          </w:tcPr>
          <w:p w14:paraId="2EB59EA5"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11,764</w:t>
            </w:r>
          </w:p>
        </w:tc>
        <w:tc>
          <w:tcPr>
            <w:tcW w:w="1903" w:type="dxa"/>
            <w:tcBorders>
              <w:top w:val="nil"/>
              <w:left w:val="nil"/>
              <w:bottom w:val="single" w:sz="4" w:space="0" w:color="000000"/>
              <w:right w:val="single" w:sz="4" w:space="0" w:color="000000"/>
            </w:tcBorders>
            <w:shd w:val="clear" w:color="auto" w:fill="EDEDED"/>
            <w:vAlign w:val="center"/>
          </w:tcPr>
          <w:p w14:paraId="0893F344"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7,646,600.00</w:t>
            </w:r>
          </w:p>
        </w:tc>
      </w:tr>
      <w:tr w:rsidR="0020529A" w14:paraId="21D49EA7"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1BB6566C"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 xml:space="preserve">Canlaon City </w:t>
            </w:r>
          </w:p>
        </w:tc>
        <w:tc>
          <w:tcPr>
            <w:tcW w:w="1568" w:type="dxa"/>
            <w:tcBorders>
              <w:top w:val="nil"/>
              <w:left w:val="nil"/>
              <w:bottom w:val="single" w:sz="4" w:space="0" w:color="000000"/>
              <w:right w:val="single" w:sz="4" w:space="0" w:color="000000"/>
            </w:tcBorders>
            <w:shd w:val="clear" w:color="auto" w:fill="auto"/>
            <w:vAlign w:val="center"/>
          </w:tcPr>
          <w:p w14:paraId="3D1E1ADE"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3,818</w:t>
            </w:r>
          </w:p>
        </w:tc>
        <w:tc>
          <w:tcPr>
            <w:tcW w:w="1493" w:type="dxa"/>
            <w:tcBorders>
              <w:top w:val="nil"/>
              <w:left w:val="nil"/>
              <w:bottom w:val="single" w:sz="4" w:space="0" w:color="000000"/>
              <w:right w:val="single" w:sz="4" w:space="0" w:color="000000"/>
            </w:tcBorders>
            <w:shd w:val="clear" w:color="auto" w:fill="auto"/>
            <w:vAlign w:val="center"/>
          </w:tcPr>
          <w:p w14:paraId="46F981E0"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2,481,700.00</w:t>
            </w:r>
          </w:p>
        </w:tc>
        <w:tc>
          <w:tcPr>
            <w:tcW w:w="1415" w:type="dxa"/>
            <w:tcBorders>
              <w:top w:val="nil"/>
              <w:left w:val="nil"/>
              <w:bottom w:val="single" w:sz="4" w:space="0" w:color="000000"/>
              <w:right w:val="single" w:sz="4" w:space="0" w:color="000000"/>
            </w:tcBorders>
            <w:shd w:val="clear" w:color="auto" w:fill="auto"/>
            <w:vAlign w:val="center"/>
          </w:tcPr>
          <w:p w14:paraId="6CF8564C"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11,764</w:t>
            </w:r>
          </w:p>
        </w:tc>
        <w:tc>
          <w:tcPr>
            <w:tcW w:w="1903" w:type="dxa"/>
            <w:tcBorders>
              <w:top w:val="nil"/>
              <w:left w:val="nil"/>
              <w:bottom w:val="single" w:sz="4" w:space="0" w:color="000000"/>
              <w:right w:val="single" w:sz="4" w:space="0" w:color="000000"/>
            </w:tcBorders>
            <w:shd w:val="clear" w:color="auto" w:fill="auto"/>
            <w:vAlign w:val="center"/>
          </w:tcPr>
          <w:p w14:paraId="0E139F58"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7,646,600.00</w:t>
            </w:r>
          </w:p>
        </w:tc>
      </w:tr>
    </w:tbl>
    <w:p w14:paraId="74D74288" w14:textId="4D7C2210" w:rsidR="0020529A" w:rsidRDefault="0020529A">
      <w:pPr>
        <w:spacing w:after="0" w:line="240" w:lineRule="auto"/>
        <w:jc w:val="both"/>
        <w:rPr>
          <w:rFonts w:ascii="Arial" w:eastAsia="Arial" w:hAnsi="Arial" w:cs="Arial"/>
          <w:sz w:val="24"/>
          <w:szCs w:val="24"/>
        </w:rPr>
      </w:pPr>
    </w:p>
    <w:p w14:paraId="2E33AC16" w14:textId="77777777" w:rsidR="008A5D55" w:rsidRDefault="008A5D55">
      <w:pPr>
        <w:spacing w:after="0" w:line="240" w:lineRule="auto"/>
        <w:jc w:val="both"/>
        <w:rPr>
          <w:rFonts w:ascii="Arial" w:eastAsia="Arial" w:hAnsi="Arial" w:cs="Arial"/>
          <w:sz w:val="24"/>
          <w:szCs w:val="24"/>
        </w:rPr>
      </w:pPr>
    </w:p>
    <w:p w14:paraId="012061C2" w14:textId="03203375"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5252F6D0" w14:textId="77777777" w:rsidR="0020529A" w:rsidRDefault="0020529A" w:rsidP="00BD22C8">
      <w:pPr>
        <w:pBdr>
          <w:top w:val="nil"/>
          <w:left w:val="nil"/>
          <w:bottom w:val="nil"/>
          <w:right w:val="nil"/>
          <w:between w:val="nil"/>
        </w:pBdr>
        <w:spacing w:after="0" w:line="240" w:lineRule="auto"/>
        <w:ind w:left="540"/>
        <w:jc w:val="both"/>
        <w:rPr>
          <w:rFonts w:ascii="Arial" w:eastAsia="Arial" w:hAnsi="Arial" w:cs="Arial"/>
          <w:b/>
          <w:color w:val="000000"/>
          <w:sz w:val="24"/>
          <w:szCs w:val="24"/>
        </w:rPr>
      </w:pPr>
    </w:p>
    <w:p w14:paraId="53D37143" w14:textId="77777777" w:rsidR="0020529A" w:rsidRDefault="006F3BB4" w:rsidP="00753591">
      <w:pPr>
        <w:numPr>
          <w:ilvl w:val="4"/>
          <w:numId w:val="5"/>
        </w:numPr>
        <w:pBdr>
          <w:top w:val="nil"/>
          <w:left w:val="nil"/>
          <w:bottom w:val="nil"/>
          <w:right w:val="nil"/>
          <w:between w:val="nil"/>
        </w:pBdr>
        <w:spacing w:after="0" w:line="240" w:lineRule="auto"/>
        <w:ind w:left="851" w:hanging="284"/>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Relief Stockpile</w:t>
      </w:r>
    </w:p>
    <w:tbl>
      <w:tblPr>
        <w:tblW w:w="4505" w:type="pct"/>
        <w:tblInd w:w="846" w:type="dxa"/>
        <w:tblCellMar>
          <w:left w:w="57" w:type="dxa"/>
          <w:right w:w="57" w:type="dxa"/>
        </w:tblCellMar>
        <w:tblLook w:val="04A0" w:firstRow="1" w:lastRow="0" w:firstColumn="1" w:lastColumn="0" w:noHBand="0" w:noVBand="1"/>
      </w:tblPr>
      <w:tblGrid>
        <w:gridCol w:w="1696"/>
        <w:gridCol w:w="1418"/>
        <w:gridCol w:w="1295"/>
        <w:gridCol w:w="1465"/>
        <w:gridCol w:w="1548"/>
        <w:gridCol w:w="1351"/>
      </w:tblGrid>
      <w:tr w:rsidR="00C779B6" w:rsidRPr="00C779B6" w14:paraId="0FB25CE1" w14:textId="77777777" w:rsidTr="00C779B6">
        <w:trPr>
          <w:trHeight w:val="20"/>
        </w:trPr>
        <w:tc>
          <w:tcPr>
            <w:tcW w:w="967"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37B22E2A" w14:textId="77777777" w:rsidR="00C779B6" w:rsidRPr="00C779B6" w:rsidRDefault="00C779B6" w:rsidP="00C779B6">
            <w:pPr>
              <w:spacing w:after="0" w:line="240" w:lineRule="auto"/>
              <w:jc w:val="center"/>
              <w:rPr>
                <w:rFonts w:ascii="Arial Narrow" w:eastAsia="Times New Roman" w:hAnsi="Arial Narrow" w:cs="Arial"/>
                <w:b/>
                <w:bCs/>
                <w:color w:val="000000"/>
                <w:sz w:val="18"/>
                <w:szCs w:val="18"/>
                <w:lang w:eastAsia="en-PH"/>
              </w:rPr>
            </w:pPr>
            <w:r w:rsidRPr="00C779B6">
              <w:rPr>
                <w:rFonts w:ascii="Arial Narrow" w:eastAsia="Times New Roman" w:hAnsi="Arial Narrow" w:cs="Arial"/>
                <w:b/>
                <w:bCs/>
                <w:color w:val="000000"/>
                <w:sz w:val="18"/>
                <w:szCs w:val="18"/>
                <w:lang w:eastAsia="en-PH"/>
              </w:rPr>
              <w:t>OFFICE</w:t>
            </w:r>
          </w:p>
        </w:tc>
        <w:tc>
          <w:tcPr>
            <w:tcW w:w="808"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49A1CFEF" w14:textId="77777777" w:rsidR="00C779B6" w:rsidRPr="00C779B6" w:rsidRDefault="00C779B6" w:rsidP="00C779B6">
            <w:pPr>
              <w:spacing w:after="0" w:line="240" w:lineRule="auto"/>
              <w:jc w:val="center"/>
              <w:rPr>
                <w:rFonts w:ascii="Arial Narrow" w:eastAsia="Times New Roman" w:hAnsi="Arial Narrow" w:cs="Arial"/>
                <w:b/>
                <w:bCs/>
                <w:color w:val="000000"/>
                <w:sz w:val="18"/>
                <w:szCs w:val="18"/>
                <w:lang w:eastAsia="en-PH"/>
              </w:rPr>
            </w:pPr>
            <w:r w:rsidRPr="00C779B6">
              <w:rPr>
                <w:rFonts w:ascii="Arial Narrow" w:eastAsia="Times New Roman" w:hAnsi="Arial Narrow" w:cs="Arial"/>
                <w:b/>
                <w:bCs/>
                <w:color w:val="000000"/>
                <w:sz w:val="18"/>
                <w:szCs w:val="18"/>
                <w:lang w:eastAsia="en-PH"/>
              </w:rPr>
              <w:t>STANDBY FUNDS</w:t>
            </w:r>
          </w:p>
        </w:tc>
        <w:tc>
          <w:tcPr>
            <w:tcW w:w="2455" w:type="pct"/>
            <w:gridSpan w:val="3"/>
            <w:tcBorders>
              <w:top w:val="single" w:sz="4" w:space="0" w:color="000000"/>
              <w:left w:val="nil"/>
              <w:bottom w:val="single" w:sz="4" w:space="0" w:color="000000"/>
              <w:right w:val="nil"/>
            </w:tcBorders>
            <w:shd w:val="clear" w:color="B7B7B7" w:fill="B7B7B7"/>
            <w:vAlign w:val="center"/>
            <w:hideMark/>
          </w:tcPr>
          <w:p w14:paraId="5FB2D306" w14:textId="77777777" w:rsidR="00C779B6" w:rsidRPr="00C779B6" w:rsidRDefault="00C779B6" w:rsidP="00C779B6">
            <w:pPr>
              <w:spacing w:after="0" w:line="240" w:lineRule="auto"/>
              <w:jc w:val="center"/>
              <w:rPr>
                <w:rFonts w:ascii="Arial Narrow" w:eastAsia="Times New Roman" w:hAnsi="Arial Narrow" w:cs="Arial"/>
                <w:b/>
                <w:bCs/>
                <w:color w:val="000000"/>
                <w:sz w:val="18"/>
                <w:szCs w:val="18"/>
                <w:lang w:eastAsia="en-PH"/>
              </w:rPr>
            </w:pPr>
            <w:r w:rsidRPr="00C779B6">
              <w:rPr>
                <w:rFonts w:ascii="Arial Narrow" w:eastAsia="Times New Roman" w:hAnsi="Arial Narrow" w:cs="Arial"/>
                <w:b/>
                <w:bCs/>
                <w:color w:val="000000"/>
                <w:sz w:val="18"/>
                <w:szCs w:val="18"/>
                <w:lang w:eastAsia="en-PH"/>
              </w:rPr>
              <w:t xml:space="preserve"> STOCKPILE </w:t>
            </w:r>
          </w:p>
        </w:tc>
        <w:tc>
          <w:tcPr>
            <w:tcW w:w="770"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6A5666CB" w14:textId="77777777" w:rsidR="00C779B6" w:rsidRPr="00C779B6" w:rsidRDefault="00C779B6" w:rsidP="00C779B6">
            <w:pPr>
              <w:spacing w:after="0" w:line="240" w:lineRule="auto"/>
              <w:jc w:val="center"/>
              <w:rPr>
                <w:rFonts w:ascii="Arial Narrow" w:eastAsia="Times New Roman" w:hAnsi="Arial Narrow" w:cs="Arial"/>
                <w:b/>
                <w:bCs/>
                <w:color w:val="000000"/>
                <w:sz w:val="18"/>
                <w:szCs w:val="18"/>
                <w:lang w:eastAsia="en-PH"/>
              </w:rPr>
            </w:pPr>
            <w:r w:rsidRPr="00C779B6">
              <w:rPr>
                <w:rFonts w:ascii="Arial Narrow" w:eastAsia="Times New Roman" w:hAnsi="Arial Narrow" w:cs="Arial"/>
                <w:b/>
                <w:bCs/>
                <w:color w:val="000000"/>
                <w:sz w:val="18"/>
                <w:szCs w:val="18"/>
                <w:lang w:eastAsia="en-PH"/>
              </w:rPr>
              <w:t>TOTAL STANDBY FUNDS &amp; STOCKPILE</w:t>
            </w:r>
          </w:p>
        </w:tc>
      </w:tr>
      <w:tr w:rsidR="00C779B6" w:rsidRPr="00C779B6" w14:paraId="2B2504EB" w14:textId="77777777" w:rsidTr="00C779B6">
        <w:trPr>
          <w:trHeight w:val="20"/>
        </w:trPr>
        <w:tc>
          <w:tcPr>
            <w:tcW w:w="967" w:type="pct"/>
            <w:vMerge/>
            <w:tcBorders>
              <w:top w:val="single" w:sz="4" w:space="0" w:color="000000"/>
              <w:left w:val="single" w:sz="4" w:space="0" w:color="000000"/>
              <w:bottom w:val="single" w:sz="4" w:space="0" w:color="000000"/>
              <w:right w:val="single" w:sz="4" w:space="0" w:color="000000"/>
            </w:tcBorders>
            <w:vAlign w:val="center"/>
            <w:hideMark/>
          </w:tcPr>
          <w:p w14:paraId="48A1E321" w14:textId="77777777" w:rsidR="00C779B6" w:rsidRPr="00C779B6" w:rsidRDefault="00C779B6" w:rsidP="00C779B6">
            <w:pPr>
              <w:spacing w:after="0" w:line="240" w:lineRule="auto"/>
              <w:rPr>
                <w:rFonts w:ascii="Arial Narrow" w:eastAsia="Times New Roman" w:hAnsi="Arial Narrow" w:cs="Arial"/>
                <w:b/>
                <w:bCs/>
                <w:color w:val="000000"/>
                <w:sz w:val="18"/>
                <w:szCs w:val="18"/>
                <w:lang w:eastAsia="en-PH"/>
              </w:rPr>
            </w:pPr>
          </w:p>
        </w:tc>
        <w:tc>
          <w:tcPr>
            <w:tcW w:w="808" w:type="pct"/>
            <w:vMerge/>
            <w:tcBorders>
              <w:top w:val="single" w:sz="4" w:space="0" w:color="000000"/>
              <w:left w:val="single" w:sz="4" w:space="0" w:color="000000"/>
              <w:bottom w:val="single" w:sz="4" w:space="0" w:color="000000"/>
              <w:right w:val="single" w:sz="4" w:space="0" w:color="000000"/>
            </w:tcBorders>
            <w:vAlign w:val="center"/>
            <w:hideMark/>
          </w:tcPr>
          <w:p w14:paraId="05933618" w14:textId="77777777" w:rsidR="00C779B6" w:rsidRPr="00C779B6" w:rsidRDefault="00C779B6" w:rsidP="00C779B6">
            <w:pPr>
              <w:spacing w:after="0" w:line="240" w:lineRule="auto"/>
              <w:rPr>
                <w:rFonts w:ascii="Arial Narrow" w:eastAsia="Times New Roman" w:hAnsi="Arial Narrow" w:cs="Arial"/>
                <w:b/>
                <w:bCs/>
                <w:color w:val="000000"/>
                <w:sz w:val="18"/>
                <w:szCs w:val="18"/>
                <w:lang w:eastAsia="en-PH"/>
              </w:rPr>
            </w:pPr>
          </w:p>
        </w:tc>
        <w:tc>
          <w:tcPr>
            <w:tcW w:w="1573" w:type="pct"/>
            <w:gridSpan w:val="2"/>
            <w:tcBorders>
              <w:top w:val="single" w:sz="4" w:space="0" w:color="000000"/>
              <w:left w:val="nil"/>
              <w:bottom w:val="single" w:sz="4" w:space="0" w:color="000000"/>
              <w:right w:val="single" w:sz="4" w:space="0" w:color="000000"/>
            </w:tcBorders>
            <w:shd w:val="clear" w:color="B7B7B7" w:fill="B7B7B7"/>
            <w:vAlign w:val="center"/>
            <w:hideMark/>
          </w:tcPr>
          <w:p w14:paraId="7B8EE6AB" w14:textId="77777777" w:rsidR="00C779B6" w:rsidRPr="00C779B6" w:rsidRDefault="00C779B6" w:rsidP="00C779B6">
            <w:pPr>
              <w:spacing w:after="0" w:line="240" w:lineRule="auto"/>
              <w:jc w:val="center"/>
              <w:rPr>
                <w:rFonts w:ascii="Arial Narrow" w:eastAsia="Times New Roman" w:hAnsi="Arial Narrow" w:cs="Arial"/>
                <w:b/>
                <w:bCs/>
                <w:color w:val="000000"/>
                <w:sz w:val="18"/>
                <w:szCs w:val="18"/>
                <w:lang w:eastAsia="en-PH"/>
              </w:rPr>
            </w:pPr>
            <w:r w:rsidRPr="00C779B6">
              <w:rPr>
                <w:rFonts w:ascii="Arial Narrow" w:eastAsia="Times New Roman" w:hAnsi="Arial Narrow" w:cs="Arial"/>
                <w:b/>
                <w:bCs/>
                <w:color w:val="000000"/>
                <w:sz w:val="18"/>
                <w:szCs w:val="18"/>
                <w:lang w:eastAsia="en-PH"/>
              </w:rPr>
              <w:t xml:space="preserve"> FAMILY FOOD PACKS </w:t>
            </w:r>
          </w:p>
        </w:tc>
        <w:tc>
          <w:tcPr>
            <w:tcW w:w="882" w:type="pct"/>
            <w:vMerge w:val="restart"/>
            <w:tcBorders>
              <w:top w:val="nil"/>
              <w:left w:val="single" w:sz="4" w:space="0" w:color="000000"/>
              <w:bottom w:val="single" w:sz="4" w:space="0" w:color="000000"/>
              <w:right w:val="single" w:sz="4" w:space="0" w:color="000000"/>
            </w:tcBorders>
            <w:shd w:val="clear" w:color="B7B7B7" w:fill="B7B7B7"/>
            <w:vAlign w:val="center"/>
            <w:hideMark/>
          </w:tcPr>
          <w:p w14:paraId="343437EA" w14:textId="77777777" w:rsidR="00C779B6" w:rsidRPr="00C779B6" w:rsidRDefault="00C779B6" w:rsidP="00C779B6">
            <w:pPr>
              <w:spacing w:after="0" w:line="240" w:lineRule="auto"/>
              <w:jc w:val="center"/>
              <w:rPr>
                <w:rFonts w:ascii="Arial Narrow" w:eastAsia="Times New Roman" w:hAnsi="Arial Narrow" w:cs="Arial"/>
                <w:b/>
                <w:bCs/>
                <w:color w:val="000000"/>
                <w:sz w:val="18"/>
                <w:szCs w:val="18"/>
                <w:lang w:eastAsia="en-PH"/>
              </w:rPr>
            </w:pPr>
            <w:r w:rsidRPr="00C779B6">
              <w:rPr>
                <w:rFonts w:ascii="Arial Narrow" w:eastAsia="Times New Roman" w:hAnsi="Arial Narrow" w:cs="Arial"/>
                <w:b/>
                <w:bCs/>
                <w:color w:val="000000"/>
                <w:sz w:val="18"/>
                <w:szCs w:val="18"/>
                <w:lang w:eastAsia="en-PH"/>
              </w:rPr>
              <w:t>OTHER FOOD AND NON-FOOD ITEMS (FNIs)</w:t>
            </w:r>
          </w:p>
        </w:tc>
        <w:tc>
          <w:tcPr>
            <w:tcW w:w="770" w:type="pct"/>
            <w:vMerge/>
            <w:tcBorders>
              <w:top w:val="single" w:sz="4" w:space="0" w:color="000000"/>
              <w:left w:val="single" w:sz="4" w:space="0" w:color="000000"/>
              <w:bottom w:val="single" w:sz="4" w:space="0" w:color="000000"/>
              <w:right w:val="single" w:sz="4" w:space="0" w:color="000000"/>
            </w:tcBorders>
            <w:vAlign w:val="center"/>
            <w:hideMark/>
          </w:tcPr>
          <w:p w14:paraId="5251E758" w14:textId="77777777" w:rsidR="00C779B6" w:rsidRPr="00C779B6" w:rsidRDefault="00C779B6" w:rsidP="00C779B6">
            <w:pPr>
              <w:spacing w:after="0" w:line="240" w:lineRule="auto"/>
              <w:rPr>
                <w:rFonts w:ascii="Arial Narrow" w:eastAsia="Times New Roman" w:hAnsi="Arial Narrow" w:cs="Arial"/>
                <w:b/>
                <w:bCs/>
                <w:color w:val="000000"/>
                <w:sz w:val="18"/>
                <w:szCs w:val="18"/>
                <w:lang w:eastAsia="en-PH"/>
              </w:rPr>
            </w:pPr>
          </w:p>
        </w:tc>
      </w:tr>
      <w:tr w:rsidR="00C779B6" w:rsidRPr="00C779B6" w14:paraId="642E5DDA" w14:textId="77777777" w:rsidTr="00C779B6">
        <w:trPr>
          <w:trHeight w:val="20"/>
        </w:trPr>
        <w:tc>
          <w:tcPr>
            <w:tcW w:w="967" w:type="pct"/>
            <w:vMerge/>
            <w:tcBorders>
              <w:top w:val="single" w:sz="4" w:space="0" w:color="000000"/>
              <w:left w:val="single" w:sz="4" w:space="0" w:color="000000"/>
              <w:bottom w:val="single" w:sz="4" w:space="0" w:color="000000"/>
              <w:right w:val="single" w:sz="4" w:space="0" w:color="000000"/>
            </w:tcBorders>
            <w:vAlign w:val="center"/>
            <w:hideMark/>
          </w:tcPr>
          <w:p w14:paraId="463A7F11" w14:textId="77777777" w:rsidR="00C779B6" w:rsidRPr="00C779B6" w:rsidRDefault="00C779B6" w:rsidP="00C779B6">
            <w:pPr>
              <w:spacing w:after="0" w:line="240" w:lineRule="auto"/>
              <w:rPr>
                <w:rFonts w:ascii="Arial Narrow" w:eastAsia="Times New Roman" w:hAnsi="Arial Narrow" w:cs="Arial"/>
                <w:b/>
                <w:bCs/>
                <w:color w:val="000000"/>
                <w:sz w:val="18"/>
                <w:szCs w:val="18"/>
                <w:lang w:eastAsia="en-PH"/>
              </w:rPr>
            </w:pPr>
          </w:p>
        </w:tc>
        <w:tc>
          <w:tcPr>
            <w:tcW w:w="808" w:type="pct"/>
            <w:vMerge/>
            <w:tcBorders>
              <w:top w:val="single" w:sz="4" w:space="0" w:color="000000"/>
              <w:left w:val="single" w:sz="4" w:space="0" w:color="000000"/>
              <w:bottom w:val="single" w:sz="4" w:space="0" w:color="000000"/>
              <w:right w:val="single" w:sz="4" w:space="0" w:color="000000"/>
            </w:tcBorders>
            <w:vAlign w:val="center"/>
            <w:hideMark/>
          </w:tcPr>
          <w:p w14:paraId="4D2984E5" w14:textId="77777777" w:rsidR="00C779B6" w:rsidRPr="00C779B6" w:rsidRDefault="00C779B6" w:rsidP="00C779B6">
            <w:pPr>
              <w:spacing w:after="0" w:line="240" w:lineRule="auto"/>
              <w:rPr>
                <w:rFonts w:ascii="Arial Narrow" w:eastAsia="Times New Roman" w:hAnsi="Arial Narrow" w:cs="Arial"/>
                <w:b/>
                <w:bCs/>
                <w:color w:val="000000"/>
                <w:sz w:val="18"/>
                <w:szCs w:val="18"/>
                <w:lang w:eastAsia="en-PH"/>
              </w:rPr>
            </w:pPr>
          </w:p>
        </w:tc>
        <w:tc>
          <w:tcPr>
            <w:tcW w:w="738" w:type="pct"/>
            <w:tcBorders>
              <w:top w:val="nil"/>
              <w:left w:val="nil"/>
              <w:bottom w:val="single" w:sz="4" w:space="0" w:color="000000"/>
              <w:right w:val="single" w:sz="4" w:space="0" w:color="000000"/>
            </w:tcBorders>
            <w:shd w:val="clear" w:color="B7B7B7" w:fill="B7B7B7"/>
            <w:vAlign w:val="center"/>
            <w:hideMark/>
          </w:tcPr>
          <w:p w14:paraId="4CDC173D" w14:textId="77777777" w:rsidR="00C779B6" w:rsidRPr="00C779B6" w:rsidRDefault="00C779B6" w:rsidP="00C779B6">
            <w:pPr>
              <w:spacing w:after="0" w:line="240" w:lineRule="auto"/>
              <w:jc w:val="center"/>
              <w:rPr>
                <w:rFonts w:ascii="Arial Narrow" w:eastAsia="Times New Roman" w:hAnsi="Arial Narrow" w:cs="Arial"/>
                <w:b/>
                <w:bCs/>
                <w:color w:val="000000"/>
                <w:sz w:val="18"/>
                <w:szCs w:val="18"/>
                <w:lang w:eastAsia="en-PH"/>
              </w:rPr>
            </w:pPr>
            <w:r w:rsidRPr="00C779B6">
              <w:rPr>
                <w:rFonts w:ascii="Arial Narrow" w:eastAsia="Times New Roman" w:hAnsi="Arial Narrow" w:cs="Arial"/>
                <w:b/>
                <w:bCs/>
                <w:color w:val="000000"/>
                <w:sz w:val="18"/>
                <w:szCs w:val="18"/>
                <w:lang w:eastAsia="en-PH"/>
              </w:rPr>
              <w:t xml:space="preserve"> QUANTITY </w:t>
            </w:r>
          </w:p>
        </w:tc>
        <w:tc>
          <w:tcPr>
            <w:tcW w:w="835" w:type="pct"/>
            <w:tcBorders>
              <w:top w:val="nil"/>
              <w:left w:val="nil"/>
              <w:bottom w:val="single" w:sz="4" w:space="0" w:color="000000"/>
              <w:right w:val="single" w:sz="4" w:space="0" w:color="000000"/>
            </w:tcBorders>
            <w:shd w:val="clear" w:color="B7B7B7" w:fill="B7B7B7"/>
            <w:vAlign w:val="center"/>
            <w:hideMark/>
          </w:tcPr>
          <w:p w14:paraId="32745507" w14:textId="77777777" w:rsidR="00C779B6" w:rsidRPr="00C779B6" w:rsidRDefault="00C779B6" w:rsidP="00C779B6">
            <w:pPr>
              <w:spacing w:after="0" w:line="240" w:lineRule="auto"/>
              <w:jc w:val="center"/>
              <w:rPr>
                <w:rFonts w:ascii="Arial Narrow" w:eastAsia="Times New Roman" w:hAnsi="Arial Narrow" w:cs="Arial"/>
                <w:b/>
                <w:bCs/>
                <w:color w:val="000000"/>
                <w:sz w:val="18"/>
                <w:szCs w:val="18"/>
                <w:lang w:eastAsia="en-PH"/>
              </w:rPr>
            </w:pPr>
            <w:r w:rsidRPr="00C779B6">
              <w:rPr>
                <w:rFonts w:ascii="Arial Narrow" w:eastAsia="Times New Roman" w:hAnsi="Arial Narrow" w:cs="Arial"/>
                <w:b/>
                <w:bCs/>
                <w:color w:val="000000"/>
                <w:sz w:val="18"/>
                <w:szCs w:val="18"/>
                <w:lang w:eastAsia="en-PH"/>
              </w:rPr>
              <w:t>TOTAL COST</w:t>
            </w:r>
          </w:p>
        </w:tc>
        <w:tc>
          <w:tcPr>
            <w:tcW w:w="882" w:type="pct"/>
            <w:vMerge/>
            <w:tcBorders>
              <w:top w:val="nil"/>
              <w:left w:val="single" w:sz="4" w:space="0" w:color="000000"/>
              <w:bottom w:val="single" w:sz="4" w:space="0" w:color="000000"/>
              <w:right w:val="single" w:sz="4" w:space="0" w:color="000000"/>
            </w:tcBorders>
            <w:vAlign w:val="center"/>
            <w:hideMark/>
          </w:tcPr>
          <w:p w14:paraId="33EECD87" w14:textId="77777777" w:rsidR="00C779B6" w:rsidRPr="00C779B6" w:rsidRDefault="00C779B6" w:rsidP="00C779B6">
            <w:pPr>
              <w:spacing w:after="0" w:line="240" w:lineRule="auto"/>
              <w:rPr>
                <w:rFonts w:ascii="Arial Narrow" w:eastAsia="Times New Roman" w:hAnsi="Arial Narrow" w:cs="Arial"/>
                <w:b/>
                <w:bCs/>
                <w:color w:val="000000"/>
                <w:sz w:val="18"/>
                <w:szCs w:val="18"/>
                <w:lang w:eastAsia="en-PH"/>
              </w:rPr>
            </w:pPr>
          </w:p>
        </w:tc>
        <w:tc>
          <w:tcPr>
            <w:tcW w:w="770" w:type="pct"/>
            <w:vMerge/>
            <w:tcBorders>
              <w:top w:val="single" w:sz="4" w:space="0" w:color="000000"/>
              <w:left w:val="single" w:sz="4" w:space="0" w:color="000000"/>
              <w:bottom w:val="single" w:sz="4" w:space="0" w:color="000000"/>
              <w:right w:val="single" w:sz="4" w:space="0" w:color="000000"/>
            </w:tcBorders>
            <w:vAlign w:val="center"/>
            <w:hideMark/>
          </w:tcPr>
          <w:p w14:paraId="6B4F81AB" w14:textId="77777777" w:rsidR="00C779B6" w:rsidRPr="00C779B6" w:rsidRDefault="00C779B6" w:rsidP="00C779B6">
            <w:pPr>
              <w:spacing w:after="0" w:line="240" w:lineRule="auto"/>
              <w:rPr>
                <w:rFonts w:ascii="Arial Narrow" w:eastAsia="Times New Roman" w:hAnsi="Arial Narrow" w:cs="Arial"/>
                <w:b/>
                <w:bCs/>
                <w:color w:val="000000"/>
                <w:sz w:val="18"/>
                <w:szCs w:val="18"/>
                <w:lang w:eastAsia="en-PH"/>
              </w:rPr>
            </w:pPr>
          </w:p>
        </w:tc>
      </w:tr>
      <w:tr w:rsidR="00C779B6" w:rsidRPr="00C779B6" w14:paraId="344A1EAB" w14:textId="77777777" w:rsidTr="00C779B6">
        <w:trPr>
          <w:trHeight w:val="20"/>
        </w:trPr>
        <w:tc>
          <w:tcPr>
            <w:tcW w:w="967" w:type="pct"/>
            <w:tcBorders>
              <w:top w:val="nil"/>
              <w:left w:val="single" w:sz="4" w:space="0" w:color="000000"/>
              <w:bottom w:val="single" w:sz="4" w:space="0" w:color="000000"/>
              <w:right w:val="single" w:sz="4" w:space="0" w:color="000000"/>
            </w:tcBorders>
            <w:shd w:val="clear" w:color="auto" w:fill="DEEAF6" w:themeFill="accent1" w:themeFillTint="33"/>
            <w:vAlign w:val="center"/>
            <w:hideMark/>
          </w:tcPr>
          <w:p w14:paraId="61D36137" w14:textId="77777777" w:rsidR="00C779B6" w:rsidRPr="00C779B6" w:rsidRDefault="00C779B6" w:rsidP="00C779B6">
            <w:pPr>
              <w:spacing w:after="0" w:line="240" w:lineRule="auto"/>
              <w:jc w:val="center"/>
              <w:rPr>
                <w:rFonts w:ascii="Arial Narrow" w:eastAsia="Times New Roman" w:hAnsi="Arial Narrow" w:cs="Arial"/>
                <w:b/>
                <w:bCs/>
                <w:color w:val="000000"/>
                <w:sz w:val="18"/>
                <w:szCs w:val="18"/>
                <w:lang w:eastAsia="en-PH"/>
              </w:rPr>
            </w:pPr>
            <w:r w:rsidRPr="00C779B6">
              <w:rPr>
                <w:rFonts w:ascii="Arial Narrow" w:eastAsia="Times New Roman" w:hAnsi="Arial Narrow" w:cs="Arial"/>
                <w:b/>
                <w:bCs/>
                <w:color w:val="000000"/>
                <w:sz w:val="18"/>
                <w:szCs w:val="18"/>
                <w:lang w:eastAsia="en-PH"/>
              </w:rPr>
              <w:t>TOTAL</w:t>
            </w:r>
          </w:p>
        </w:tc>
        <w:tc>
          <w:tcPr>
            <w:tcW w:w="808" w:type="pct"/>
            <w:tcBorders>
              <w:top w:val="nil"/>
              <w:left w:val="nil"/>
              <w:bottom w:val="single" w:sz="4" w:space="0" w:color="000000"/>
              <w:right w:val="single" w:sz="4" w:space="0" w:color="000000"/>
            </w:tcBorders>
            <w:shd w:val="clear" w:color="auto" w:fill="DEEAF6" w:themeFill="accent1" w:themeFillTint="33"/>
            <w:vAlign w:val="center"/>
            <w:hideMark/>
          </w:tcPr>
          <w:p w14:paraId="05455FD6" w14:textId="77777777" w:rsidR="00C779B6" w:rsidRPr="00C779B6" w:rsidRDefault="00C779B6" w:rsidP="00C779B6">
            <w:pPr>
              <w:spacing w:after="0" w:line="240" w:lineRule="auto"/>
              <w:jc w:val="right"/>
              <w:rPr>
                <w:rFonts w:ascii="Arial Narrow" w:eastAsia="Times New Roman" w:hAnsi="Arial Narrow" w:cs="Arial"/>
                <w:b/>
                <w:bCs/>
                <w:color w:val="000000"/>
                <w:sz w:val="18"/>
                <w:szCs w:val="18"/>
                <w:lang w:eastAsia="en-PH"/>
              </w:rPr>
            </w:pPr>
            <w:r w:rsidRPr="00C779B6">
              <w:rPr>
                <w:rFonts w:ascii="Arial Narrow" w:eastAsia="Times New Roman" w:hAnsi="Arial Narrow" w:cs="Arial"/>
                <w:b/>
                <w:bCs/>
                <w:color w:val="000000"/>
                <w:sz w:val="18"/>
                <w:szCs w:val="18"/>
                <w:lang w:eastAsia="en-PH"/>
              </w:rPr>
              <w:t xml:space="preserve">     198,664,369.43 </w:t>
            </w:r>
          </w:p>
        </w:tc>
        <w:tc>
          <w:tcPr>
            <w:tcW w:w="738" w:type="pct"/>
            <w:tcBorders>
              <w:top w:val="nil"/>
              <w:left w:val="nil"/>
              <w:bottom w:val="single" w:sz="4" w:space="0" w:color="000000"/>
              <w:right w:val="single" w:sz="4" w:space="0" w:color="000000"/>
            </w:tcBorders>
            <w:shd w:val="clear" w:color="auto" w:fill="DEEAF6" w:themeFill="accent1" w:themeFillTint="33"/>
            <w:vAlign w:val="center"/>
            <w:hideMark/>
          </w:tcPr>
          <w:p w14:paraId="517A5AF3" w14:textId="77777777" w:rsidR="00C779B6" w:rsidRPr="00C779B6" w:rsidRDefault="00C779B6" w:rsidP="00C779B6">
            <w:pPr>
              <w:spacing w:after="0" w:line="240" w:lineRule="auto"/>
              <w:jc w:val="right"/>
              <w:rPr>
                <w:rFonts w:ascii="Arial Narrow" w:eastAsia="Times New Roman" w:hAnsi="Arial Narrow" w:cs="Arial"/>
                <w:b/>
                <w:bCs/>
                <w:color w:val="000000"/>
                <w:sz w:val="18"/>
                <w:szCs w:val="18"/>
                <w:lang w:eastAsia="en-PH"/>
              </w:rPr>
            </w:pPr>
            <w:r w:rsidRPr="00C779B6">
              <w:rPr>
                <w:rFonts w:ascii="Arial Narrow" w:eastAsia="Times New Roman" w:hAnsi="Arial Narrow" w:cs="Arial"/>
                <w:b/>
                <w:bCs/>
                <w:color w:val="000000"/>
                <w:sz w:val="18"/>
                <w:szCs w:val="18"/>
                <w:lang w:eastAsia="en-PH"/>
              </w:rPr>
              <w:t xml:space="preserve">               457,056 </w:t>
            </w:r>
          </w:p>
        </w:tc>
        <w:tc>
          <w:tcPr>
            <w:tcW w:w="835" w:type="pct"/>
            <w:tcBorders>
              <w:top w:val="nil"/>
              <w:left w:val="nil"/>
              <w:bottom w:val="single" w:sz="4" w:space="0" w:color="000000"/>
              <w:right w:val="single" w:sz="4" w:space="0" w:color="000000"/>
            </w:tcBorders>
            <w:shd w:val="clear" w:color="auto" w:fill="DEEAF6" w:themeFill="accent1" w:themeFillTint="33"/>
            <w:vAlign w:val="center"/>
            <w:hideMark/>
          </w:tcPr>
          <w:p w14:paraId="5DFFFDAF" w14:textId="77777777" w:rsidR="00C779B6" w:rsidRPr="00C779B6" w:rsidRDefault="00C779B6" w:rsidP="00C779B6">
            <w:pPr>
              <w:spacing w:after="0" w:line="240" w:lineRule="auto"/>
              <w:jc w:val="right"/>
              <w:rPr>
                <w:rFonts w:ascii="Arial Narrow" w:eastAsia="Times New Roman" w:hAnsi="Arial Narrow" w:cs="Arial"/>
                <w:b/>
                <w:bCs/>
                <w:color w:val="000000"/>
                <w:sz w:val="18"/>
                <w:szCs w:val="18"/>
                <w:lang w:eastAsia="en-PH"/>
              </w:rPr>
            </w:pPr>
            <w:r w:rsidRPr="00C779B6">
              <w:rPr>
                <w:rFonts w:ascii="Arial Narrow" w:eastAsia="Times New Roman" w:hAnsi="Arial Narrow" w:cs="Arial"/>
                <w:b/>
                <w:bCs/>
                <w:color w:val="000000"/>
                <w:sz w:val="18"/>
                <w:szCs w:val="18"/>
                <w:lang w:eastAsia="en-PH"/>
              </w:rPr>
              <w:t xml:space="preserve">     276,788,342.55 </w:t>
            </w:r>
          </w:p>
        </w:tc>
        <w:tc>
          <w:tcPr>
            <w:tcW w:w="882" w:type="pct"/>
            <w:tcBorders>
              <w:top w:val="nil"/>
              <w:left w:val="nil"/>
              <w:bottom w:val="single" w:sz="4" w:space="0" w:color="000000"/>
              <w:right w:val="single" w:sz="4" w:space="0" w:color="000000"/>
            </w:tcBorders>
            <w:shd w:val="clear" w:color="auto" w:fill="DEEAF6" w:themeFill="accent1" w:themeFillTint="33"/>
            <w:vAlign w:val="center"/>
            <w:hideMark/>
          </w:tcPr>
          <w:p w14:paraId="40B40182" w14:textId="77777777" w:rsidR="00C779B6" w:rsidRPr="00C779B6" w:rsidRDefault="00C779B6" w:rsidP="00C779B6">
            <w:pPr>
              <w:spacing w:after="0" w:line="240" w:lineRule="auto"/>
              <w:jc w:val="right"/>
              <w:rPr>
                <w:rFonts w:ascii="Arial Narrow" w:eastAsia="Times New Roman" w:hAnsi="Arial Narrow" w:cs="Arial"/>
                <w:b/>
                <w:bCs/>
                <w:color w:val="000000"/>
                <w:sz w:val="18"/>
                <w:szCs w:val="18"/>
                <w:lang w:eastAsia="en-PH"/>
              </w:rPr>
            </w:pPr>
            <w:r w:rsidRPr="00C779B6">
              <w:rPr>
                <w:rFonts w:ascii="Arial Narrow" w:eastAsia="Times New Roman" w:hAnsi="Arial Narrow" w:cs="Arial"/>
                <w:b/>
                <w:bCs/>
                <w:color w:val="000000"/>
                <w:sz w:val="18"/>
                <w:szCs w:val="18"/>
                <w:lang w:eastAsia="en-PH"/>
              </w:rPr>
              <w:t xml:space="preserve">     680,981,828.71 </w:t>
            </w:r>
          </w:p>
        </w:tc>
        <w:tc>
          <w:tcPr>
            <w:tcW w:w="770" w:type="pct"/>
            <w:tcBorders>
              <w:top w:val="nil"/>
              <w:left w:val="nil"/>
              <w:bottom w:val="single" w:sz="4" w:space="0" w:color="000000"/>
              <w:right w:val="single" w:sz="4" w:space="0" w:color="000000"/>
            </w:tcBorders>
            <w:shd w:val="clear" w:color="auto" w:fill="DEEAF6" w:themeFill="accent1" w:themeFillTint="33"/>
            <w:vAlign w:val="center"/>
            <w:hideMark/>
          </w:tcPr>
          <w:p w14:paraId="54AAB762" w14:textId="77777777" w:rsidR="00C779B6" w:rsidRPr="00C779B6" w:rsidRDefault="00C779B6" w:rsidP="00C779B6">
            <w:pPr>
              <w:spacing w:after="0" w:line="240" w:lineRule="auto"/>
              <w:jc w:val="right"/>
              <w:rPr>
                <w:rFonts w:ascii="Arial Narrow" w:eastAsia="Times New Roman" w:hAnsi="Arial Narrow" w:cs="Arial"/>
                <w:b/>
                <w:bCs/>
                <w:color w:val="000000"/>
                <w:sz w:val="18"/>
                <w:szCs w:val="18"/>
                <w:lang w:eastAsia="en-PH"/>
              </w:rPr>
            </w:pPr>
            <w:r w:rsidRPr="00C779B6">
              <w:rPr>
                <w:rFonts w:ascii="Arial Narrow" w:eastAsia="Times New Roman" w:hAnsi="Arial Narrow" w:cs="Arial"/>
                <w:b/>
                <w:bCs/>
                <w:color w:val="000000"/>
                <w:sz w:val="18"/>
                <w:szCs w:val="18"/>
                <w:lang w:eastAsia="en-PH"/>
              </w:rPr>
              <w:t xml:space="preserve">  1,156,434,540.69 </w:t>
            </w:r>
          </w:p>
        </w:tc>
      </w:tr>
      <w:tr w:rsidR="00C779B6" w:rsidRPr="00C779B6" w14:paraId="6C4FD4C2" w14:textId="77777777" w:rsidTr="00C779B6">
        <w:trPr>
          <w:trHeight w:val="20"/>
        </w:trPr>
        <w:tc>
          <w:tcPr>
            <w:tcW w:w="967" w:type="pct"/>
            <w:tcBorders>
              <w:top w:val="nil"/>
              <w:left w:val="single" w:sz="4" w:space="0" w:color="000000"/>
              <w:bottom w:val="single" w:sz="4" w:space="0" w:color="000000"/>
              <w:right w:val="single" w:sz="4" w:space="0" w:color="000000"/>
            </w:tcBorders>
            <w:shd w:val="clear" w:color="auto" w:fill="auto"/>
            <w:vAlign w:val="center"/>
            <w:hideMark/>
          </w:tcPr>
          <w:p w14:paraId="1A874776" w14:textId="77777777" w:rsidR="00C779B6" w:rsidRPr="00C779B6" w:rsidRDefault="00C779B6" w:rsidP="00C779B6">
            <w:pPr>
              <w:spacing w:after="0" w:line="240" w:lineRule="auto"/>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DSWD CO</w:t>
            </w:r>
          </w:p>
        </w:tc>
        <w:tc>
          <w:tcPr>
            <w:tcW w:w="808" w:type="pct"/>
            <w:tcBorders>
              <w:top w:val="nil"/>
              <w:left w:val="nil"/>
              <w:bottom w:val="single" w:sz="4" w:space="0" w:color="000000"/>
              <w:right w:val="single" w:sz="4" w:space="0" w:color="000000"/>
            </w:tcBorders>
            <w:shd w:val="clear" w:color="auto" w:fill="auto"/>
            <w:vAlign w:val="center"/>
            <w:hideMark/>
          </w:tcPr>
          <w:p w14:paraId="52CD3C54"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124,381,328.12 </w:t>
            </w:r>
          </w:p>
        </w:tc>
        <w:tc>
          <w:tcPr>
            <w:tcW w:w="738" w:type="pct"/>
            <w:tcBorders>
              <w:top w:val="nil"/>
              <w:left w:val="nil"/>
              <w:bottom w:val="single" w:sz="4" w:space="0" w:color="000000"/>
              <w:right w:val="single" w:sz="4" w:space="0" w:color="000000"/>
            </w:tcBorders>
            <w:shd w:val="clear" w:color="auto" w:fill="auto"/>
            <w:vAlign w:val="center"/>
          </w:tcPr>
          <w:p w14:paraId="269040C7" w14:textId="42ADA46C"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p>
        </w:tc>
        <w:tc>
          <w:tcPr>
            <w:tcW w:w="835" w:type="pct"/>
            <w:tcBorders>
              <w:top w:val="nil"/>
              <w:left w:val="nil"/>
              <w:bottom w:val="single" w:sz="4" w:space="0" w:color="000000"/>
              <w:right w:val="single" w:sz="4" w:space="0" w:color="000000"/>
            </w:tcBorders>
            <w:shd w:val="clear" w:color="auto" w:fill="auto"/>
            <w:vAlign w:val="center"/>
            <w:hideMark/>
          </w:tcPr>
          <w:p w14:paraId="0711D91B"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 </w:t>
            </w:r>
          </w:p>
        </w:tc>
        <w:tc>
          <w:tcPr>
            <w:tcW w:w="882" w:type="pct"/>
            <w:tcBorders>
              <w:top w:val="nil"/>
              <w:left w:val="nil"/>
              <w:bottom w:val="single" w:sz="4" w:space="0" w:color="000000"/>
              <w:right w:val="single" w:sz="4" w:space="0" w:color="000000"/>
            </w:tcBorders>
            <w:shd w:val="clear" w:color="auto" w:fill="auto"/>
            <w:vAlign w:val="center"/>
            <w:hideMark/>
          </w:tcPr>
          <w:p w14:paraId="52C286DF"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 </w:t>
            </w:r>
          </w:p>
        </w:tc>
        <w:tc>
          <w:tcPr>
            <w:tcW w:w="770" w:type="pct"/>
            <w:tcBorders>
              <w:top w:val="nil"/>
              <w:left w:val="nil"/>
              <w:bottom w:val="single" w:sz="4" w:space="0" w:color="000000"/>
              <w:right w:val="single" w:sz="4" w:space="0" w:color="000000"/>
            </w:tcBorders>
            <w:shd w:val="clear" w:color="auto" w:fill="auto"/>
            <w:vAlign w:val="center"/>
            <w:hideMark/>
          </w:tcPr>
          <w:p w14:paraId="0BBCFD58"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124,381,328.12 </w:t>
            </w:r>
          </w:p>
        </w:tc>
      </w:tr>
      <w:tr w:rsidR="00C779B6" w:rsidRPr="00C779B6" w14:paraId="2BCB1DDF" w14:textId="77777777" w:rsidTr="00C779B6">
        <w:trPr>
          <w:trHeight w:val="20"/>
        </w:trPr>
        <w:tc>
          <w:tcPr>
            <w:tcW w:w="967" w:type="pct"/>
            <w:tcBorders>
              <w:top w:val="nil"/>
              <w:left w:val="single" w:sz="4" w:space="0" w:color="000000"/>
              <w:bottom w:val="single" w:sz="4" w:space="0" w:color="000000"/>
              <w:right w:val="single" w:sz="4" w:space="0" w:color="000000"/>
            </w:tcBorders>
            <w:shd w:val="clear" w:color="auto" w:fill="auto"/>
            <w:vAlign w:val="center"/>
            <w:hideMark/>
          </w:tcPr>
          <w:p w14:paraId="4DA214BB" w14:textId="77777777" w:rsidR="00C779B6" w:rsidRPr="00C779B6" w:rsidRDefault="00C779B6" w:rsidP="00C779B6">
            <w:pPr>
              <w:spacing w:after="0" w:line="240" w:lineRule="auto"/>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NRLMB NROC</w:t>
            </w:r>
          </w:p>
        </w:tc>
        <w:tc>
          <w:tcPr>
            <w:tcW w:w="808" w:type="pct"/>
            <w:tcBorders>
              <w:top w:val="nil"/>
              <w:left w:val="nil"/>
              <w:bottom w:val="single" w:sz="4" w:space="0" w:color="000000"/>
              <w:right w:val="single" w:sz="4" w:space="0" w:color="000000"/>
            </w:tcBorders>
            <w:shd w:val="clear" w:color="auto" w:fill="auto"/>
            <w:vAlign w:val="center"/>
            <w:hideMark/>
          </w:tcPr>
          <w:p w14:paraId="5E022652"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 </w:t>
            </w:r>
          </w:p>
        </w:tc>
        <w:tc>
          <w:tcPr>
            <w:tcW w:w="738" w:type="pct"/>
            <w:tcBorders>
              <w:top w:val="nil"/>
              <w:left w:val="nil"/>
              <w:bottom w:val="single" w:sz="4" w:space="0" w:color="000000"/>
              <w:right w:val="single" w:sz="4" w:space="0" w:color="000000"/>
            </w:tcBorders>
            <w:shd w:val="clear" w:color="auto" w:fill="auto"/>
            <w:vAlign w:val="center"/>
            <w:hideMark/>
          </w:tcPr>
          <w:p w14:paraId="1384F035"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39,847 </w:t>
            </w:r>
          </w:p>
        </w:tc>
        <w:tc>
          <w:tcPr>
            <w:tcW w:w="835" w:type="pct"/>
            <w:tcBorders>
              <w:top w:val="nil"/>
              <w:left w:val="nil"/>
              <w:bottom w:val="single" w:sz="4" w:space="0" w:color="000000"/>
              <w:right w:val="single" w:sz="4" w:space="0" w:color="000000"/>
            </w:tcBorders>
            <w:shd w:val="clear" w:color="auto" w:fill="auto"/>
            <w:vAlign w:val="center"/>
            <w:hideMark/>
          </w:tcPr>
          <w:p w14:paraId="6DFFE19D"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26,643,829.00 </w:t>
            </w:r>
          </w:p>
        </w:tc>
        <w:tc>
          <w:tcPr>
            <w:tcW w:w="882" w:type="pct"/>
            <w:tcBorders>
              <w:top w:val="nil"/>
              <w:left w:val="nil"/>
              <w:bottom w:val="single" w:sz="4" w:space="0" w:color="000000"/>
              <w:right w:val="single" w:sz="4" w:space="0" w:color="000000"/>
            </w:tcBorders>
            <w:shd w:val="clear" w:color="auto" w:fill="auto"/>
            <w:vAlign w:val="center"/>
            <w:hideMark/>
          </w:tcPr>
          <w:p w14:paraId="0C7F455D"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94,328,681.69 </w:t>
            </w:r>
          </w:p>
        </w:tc>
        <w:tc>
          <w:tcPr>
            <w:tcW w:w="770" w:type="pct"/>
            <w:tcBorders>
              <w:top w:val="nil"/>
              <w:left w:val="nil"/>
              <w:bottom w:val="single" w:sz="4" w:space="0" w:color="000000"/>
              <w:right w:val="single" w:sz="4" w:space="0" w:color="000000"/>
            </w:tcBorders>
            <w:shd w:val="clear" w:color="auto" w:fill="auto"/>
            <w:vAlign w:val="center"/>
            <w:hideMark/>
          </w:tcPr>
          <w:p w14:paraId="0994C80C"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120,972,510.69 </w:t>
            </w:r>
          </w:p>
        </w:tc>
      </w:tr>
      <w:tr w:rsidR="00C779B6" w:rsidRPr="00C779B6" w14:paraId="54C0A530" w14:textId="77777777" w:rsidTr="00C779B6">
        <w:trPr>
          <w:trHeight w:val="20"/>
        </w:trPr>
        <w:tc>
          <w:tcPr>
            <w:tcW w:w="967" w:type="pct"/>
            <w:tcBorders>
              <w:top w:val="nil"/>
              <w:left w:val="single" w:sz="4" w:space="0" w:color="000000"/>
              <w:bottom w:val="single" w:sz="4" w:space="0" w:color="000000"/>
              <w:right w:val="single" w:sz="4" w:space="0" w:color="000000"/>
            </w:tcBorders>
            <w:shd w:val="clear" w:color="auto" w:fill="auto"/>
            <w:vAlign w:val="center"/>
            <w:hideMark/>
          </w:tcPr>
          <w:p w14:paraId="2A45BF9E" w14:textId="77777777" w:rsidR="00C779B6" w:rsidRPr="00C779B6" w:rsidRDefault="00C779B6" w:rsidP="00C779B6">
            <w:pPr>
              <w:spacing w:after="0" w:line="240" w:lineRule="auto"/>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NRLMB VDRC</w:t>
            </w:r>
          </w:p>
        </w:tc>
        <w:tc>
          <w:tcPr>
            <w:tcW w:w="808" w:type="pct"/>
            <w:tcBorders>
              <w:top w:val="nil"/>
              <w:left w:val="nil"/>
              <w:bottom w:val="single" w:sz="4" w:space="0" w:color="000000"/>
              <w:right w:val="single" w:sz="4" w:space="0" w:color="000000"/>
            </w:tcBorders>
            <w:shd w:val="clear" w:color="auto" w:fill="auto"/>
            <w:vAlign w:val="center"/>
            <w:hideMark/>
          </w:tcPr>
          <w:p w14:paraId="50D4CE70"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 </w:t>
            </w:r>
          </w:p>
        </w:tc>
        <w:tc>
          <w:tcPr>
            <w:tcW w:w="738" w:type="pct"/>
            <w:tcBorders>
              <w:top w:val="nil"/>
              <w:left w:val="nil"/>
              <w:bottom w:val="single" w:sz="4" w:space="0" w:color="000000"/>
              <w:right w:val="single" w:sz="4" w:space="0" w:color="000000"/>
            </w:tcBorders>
            <w:shd w:val="clear" w:color="auto" w:fill="auto"/>
            <w:vAlign w:val="center"/>
            <w:hideMark/>
          </w:tcPr>
          <w:p w14:paraId="0F0087D1"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51,729 </w:t>
            </w:r>
          </w:p>
        </w:tc>
        <w:tc>
          <w:tcPr>
            <w:tcW w:w="835" w:type="pct"/>
            <w:tcBorders>
              <w:top w:val="nil"/>
              <w:left w:val="nil"/>
              <w:bottom w:val="single" w:sz="4" w:space="0" w:color="000000"/>
              <w:right w:val="single" w:sz="4" w:space="0" w:color="000000"/>
            </w:tcBorders>
            <w:shd w:val="clear" w:color="auto" w:fill="auto"/>
            <w:vAlign w:val="center"/>
            <w:hideMark/>
          </w:tcPr>
          <w:p w14:paraId="22670A56"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32,831,910.00 </w:t>
            </w:r>
          </w:p>
        </w:tc>
        <w:tc>
          <w:tcPr>
            <w:tcW w:w="882" w:type="pct"/>
            <w:tcBorders>
              <w:top w:val="nil"/>
              <w:left w:val="nil"/>
              <w:bottom w:val="single" w:sz="4" w:space="0" w:color="000000"/>
              <w:right w:val="single" w:sz="4" w:space="0" w:color="000000"/>
            </w:tcBorders>
            <w:shd w:val="clear" w:color="auto" w:fill="auto"/>
            <w:vAlign w:val="center"/>
            <w:hideMark/>
          </w:tcPr>
          <w:p w14:paraId="66043B90"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49,058,205.80 </w:t>
            </w:r>
          </w:p>
        </w:tc>
        <w:tc>
          <w:tcPr>
            <w:tcW w:w="770" w:type="pct"/>
            <w:tcBorders>
              <w:top w:val="nil"/>
              <w:left w:val="nil"/>
              <w:bottom w:val="single" w:sz="4" w:space="0" w:color="000000"/>
              <w:right w:val="single" w:sz="4" w:space="0" w:color="000000"/>
            </w:tcBorders>
            <w:shd w:val="clear" w:color="auto" w:fill="auto"/>
            <w:vAlign w:val="center"/>
            <w:hideMark/>
          </w:tcPr>
          <w:p w14:paraId="4B6DF79A"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81,890,115.80 </w:t>
            </w:r>
          </w:p>
        </w:tc>
      </w:tr>
      <w:tr w:rsidR="00C779B6" w:rsidRPr="00C779B6" w14:paraId="4B0757E6" w14:textId="77777777" w:rsidTr="00C779B6">
        <w:trPr>
          <w:trHeight w:val="20"/>
        </w:trPr>
        <w:tc>
          <w:tcPr>
            <w:tcW w:w="967" w:type="pct"/>
            <w:tcBorders>
              <w:top w:val="nil"/>
              <w:left w:val="single" w:sz="4" w:space="0" w:color="000000"/>
              <w:bottom w:val="single" w:sz="4" w:space="0" w:color="000000"/>
              <w:right w:val="single" w:sz="4" w:space="0" w:color="000000"/>
            </w:tcBorders>
            <w:shd w:val="clear" w:color="auto" w:fill="auto"/>
            <w:vAlign w:val="center"/>
            <w:hideMark/>
          </w:tcPr>
          <w:p w14:paraId="7D8DFEE5" w14:textId="77777777" w:rsidR="00C779B6" w:rsidRPr="00C779B6" w:rsidRDefault="00C779B6" w:rsidP="00C779B6">
            <w:pPr>
              <w:spacing w:after="0" w:line="240" w:lineRule="auto"/>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DSWD FO VI</w:t>
            </w:r>
          </w:p>
        </w:tc>
        <w:tc>
          <w:tcPr>
            <w:tcW w:w="808" w:type="pct"/>
            <w:tcBorders>
              <w:top w:val="nil"/>
              <w:left w:val="nil"/>
              <w:bottom w:val="single" w:sz="4" w:space="0" w:color="000000"/>
              <w:right w:val="single" w:sz="4" w:space="0" w:color="000000"/>
            </w:tcBorders>
            <w:shd w:val="clear" w:color="auto" w:fill="auto"/>
            <w:vAlign w:val="center"/>
            <w:hideMark/>
          </w:tcPr>
          <w:p w14:paraId="4B789CF0"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5,000,000.00 </w:t>
            </w:r>
          </w:p>
        </w:tc>
        <w:tc>
          <w:tcPr>
            <w:tcW w:w="738" w:type="pct"/>
            <w:tcBorders>
              <w:top w:val="nil"/>
              <w:left w:val="nil"/>
              <w:bottom w:val="single" w:sz="4" w:space="0" w:color="000000"/>
              <w:right w:val="single" w:sz="4" w:space="0" w:color="000000"/>
            </w:tcBorders>
            <w:shd w:val="clear" w:color="auto" w:fill="auto"/>
            <w:vAlign w:val="center"/>
            <w:hideMark/>
          </w:tcPr>
          <w:p w14:paraId="6D2985DE"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27,251 </w:t>
            </w:r>
          </w:p>
        </w:tc>
        <w:tc>
          <w:tcPr>
            <w:tcW w:w="835" w:type="pct"/>
            <w:tcBorders>
              <w:top w:val="nil"/>
              <w:left w:val="nil"/>
              <w:bottom w:val="single" w:sz="4" w:space="0" w:color="000000"/>
              <w:right w:val="single" w:sz="4" w:space="0" w:color="000000"/>
            </w:tcBorders>
            <w:shd w:val="clear" w:color="auto" w:fill="auto"/>
            <w:vAlign w:val="center"/>
            <w:hideMark/>
          </w:tcPr>
          <w:p w14:paraId="6D0177F4"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11,645,906.00 </w:t>
            </w:r>
          </w:p>
        </w:tc>
        <w:tc>
          <w:tcPr>
            <w:tcW w:w="882" w:type="pct"/>
            <w:tcBorders>
              <w:top w:val="nil"/>
              <w:left w:val="nil"/>
              <w:bottom w:val="single" w:sz="4" w:space="0" w:color="000000"/>
              <w:right w:val="single" w:sz="4" w:space="0" w:color="000000"/>
            </w:tcBorders>
            <w:shd w:val="clear" w:color="auto" w:fill="auto"/>
            <w:vAlign w:val="center"/>
            <w:hideMark/>
          </w:tcPr>
          <w:p w14:paraId="6C63B177"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31,827,895.64 </w:t>
            </w:r>
          </w:p>
        </w:tc>
        <w:tc>
          <w:tcPr>
            <w:tcW w:w="770" w:type="pct"/>
            <w:tcBorders>
              <w:top w:val="nil"/>
              <w:left w:val="nil"/>
              <w:bottom w:val="single" w:sz="4" w:space="0" w:color="000000"/>
              <w:right w:val="single" w:sz="4" w:space="0" w:color="000000"/>
            </w:tcBorders>
            <w:shd w:val="clear" w:color="auto" w:fill="auto"/>
            <w:vAlign w:val="center"/>
            <w:hideMark/>
          </w:tcPr>
          <w:p w14:paraId="479C1CBD"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48,473,801.64 </w:t>
            </w:r>
          </w:p>
        </w:tc>
      </w:tr>
      <w:tr w:rsidR="00C779B6" w:rsidRPr="00C779B6" w14:paraId="34003FC3" w14:textId="77777777" w:rsidTr="00C779B6">
        <w:trPr>
          <w:trHeight w:val="20"/>
        </w:trPr>
        <w:tc>
          <w:tcPr>
            <w:tcW w:w="967" w:type="pct"/>
            <w:tcBorders>
              <w:top w:val="nil"/>
              <w:left w:val="single" w:sz="4" w:space="0" w:color="000000"/>
              <w:bottom w:val="single" w:sz="4" w:space="0" w:color="000000"/>
              <w:right w:val="single" w:sz="4" w:space="0" w:color="000000"/>
            </w:tcBorders>
            <w:shd w:val="clear" w:color="auto" w:fill="auto"/>
            <w:vAlign w:val="center"/>
            <w:hideMark/>
          </w:tcPr>
          <w:p w14:paraId="73C3F934" w14:textId="77777777" w:rsidR="00C779B6" w:rsidRPr="00C779B6" w:rsidRDefault="00C779B6" w:rsidP="00C779B6">
            <w:pPr>
              <w:spacing w:after="0" w:line="240" w:lineRule="auto"/>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DSWD FO VII</w:t>
            </w:r>
          </w:p>
        </w:tc>
        <w:tc>
          <w:tcPr>
            <w:tcW w:w="808" w:type="pct"/>
            <w:tcBorders>
              <w:top w:val="nil"/>
              <w:left w:val="nil"/>
              <w:bottom w:val="single" w:sz="4" w:space="0" w:color="000000"/>
              <w:right w:val="single" w:sz="4" w:space="0" w:color="000000"/>
            </w:tcBorders>
            <w:shd w:val="clear" w:color="auto" w:fill="auto"/>
            <w:vAlign w:val="center"/>
            <w:hideMark/>
          </w:tcPr>
          <w:p w14:paraId="403C3A40"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5,000,000.00 </w:t>
            </w:r>
          </w:p>
        </w:tc>
        <w:tc>
          <w:tcPr>
            <w:tcW w:w="738" w:type="pct"/>
            <w:tcBorders>
              <w:top w:val="nil"/>
              <w:left w:val="nil"/>
              <w:bottom w:val="single" w:sz="4" w:space="0" w:color="000000"/>
              <w:right w:val="single" w:sz="4" w:space="0" w:color="000000"/>
            </w:tcBorders>
            <w:shd w:val="clear" w:color="auto" w:fill="auto"/>
            <w:vAlign w:val="center"/>
            <w:hideMark/>
          </w:tcPr>
          <w:p w14:paraId="6193748D"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23,181 </w:t>
            </w:r>
          </w:p>
        </w:tc>
        <w:tc>
          <w:tcPr>
            <w:tcW w:w="835" w:type="pct"/>
            <w:tcBorders>
              <w:top w:val="nil"/>
              <w:left w:val="nil"/>
              <w:bottom w:val="single" w:sz="4" w:space="0" w:color="000000"/>
              <w:right w:val="single" w:sz="4" w:space="0" w:color="000000"/>
            </w:tcBorders>
            <w:shd w:val="clear" w:color="auto" w:fill="auto"/>
            <w:vAlign w:val="center"/>
            <w:hideMark/>
          </w:tcPr>
          <w:p w14:paraId="70EB341D"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13,213,170.00 </w:t>
            </w:r>
          </w:p>
        </w:tc>
        <w:tc>
          <w:tcPr>
            <w:tcW w:w="882" w:type="pct"/>
            <w:tcBorders>
              <w:top w:val="nil"/>
              <w:left w:val="nil"/>
              <w:bottom w:val="single" w:sz="4" w:space="0" w:color="000000"/>
              <w:right w:val="single" w:sz="4" w:space="0" w:color="000000"/>
            </w:tcBorders>
            <w:shd w:val="clear" w:color="auto" w:fill="auto"/>
            <w:vAlign w:val="center"/>
            <w:hideMark/>
          </w:tcPr>
          <w:p w14:paraId="0A3B3626"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46,812,079.00 </w:t>
            </w:r>
          </w:p>
        </w:tc>
        <w:tc>
          <w:tcPr>
            <w:tcW w:w="770" w:type="pct"/>
            <w:tcBorders>
              <w:top w:val="nil"/>
              <w:left w:val="nil"/>
              <w:bottom w:val="single" w:sz="4" w:space="0" w:color="000000"/>
              <w:right w:val="single" w:sz="4" w:space="0" w:color="000000"/>
            </w:tcBorders>
            <w:shd w:val="clear" w:color="auto" w:fill="auto"/>
            <w:vAlign w:val="center"/>
            <w:hideMark/>
          </w:tcPr>
          <w:p w14:paraId="1C98FBCA"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65,025,249.00 </w:t>
            </w:r>
          </w:p>
        </w:tc>
      </w:tr>
      <w:tr w:rsidR="00C779B6" w:rsidRPr="00C779B6" w14:paraId="5CCBB0CB" w14:textId="77777777" w:rsidTr="00C779B6">
        <w:trPr>
          <w:trHeight w:val="20"/>
        </w:trPr>
        <w:tc>
          <w:tcPr>
            <w:tcW w:w="967" w:type="pct"/>
            <w:tcBorders>
              <w:top w:val="nil"/>
              <w:left w:val="single" w:sz="4" w:space="0" w:color="000000"/>
              <w:bottom w:val="single" w:sz="4" w:space="0" w:color="000000"/>
              <w:right w:val="single" w:sz="4" w:space="0" w:color="000000"/>
            </w:tcBorders>
            <w:shd w:val="clear" w:color="auto" w:fill="auto"/>
            <w:vAlign w:val="center"/>
            <w:hideMark/>
          </w:tcPr>
          <w:p w14:paraId="089AEB58" w14:textId="77777777" w:rsidR="00C779B6" w:rsidRPr="00C779B6" w:rsidRDefault="00C779B6" w:rsidP="00C779B6">
            <w:pPr>
              <w:spacing w:after="0" w:line="240" w:lineRule="auto"/>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Other FOs</w:t>
            </w:r>
          </w:p>
        </w:tc>
        <w:tc>
          <w:tcPr>
            <w:tcW w:w="808" w:type="pct"/>
            <w:tcBorders>
              <w:top w:val="nil"/>
              <w:left w:val="nil"/>
              <w:bottom w:val="single" w:sz="4" w:space="0" w:color="000000"/>
              <w:right w:val="single" w:sz="4" w:space="0" w:color="000000"/>
            </w:tcBorders>
            <w:shd w:val="clear" w:color="auto" w:fill="auto"/>
            <w:vAlign w:val="center"/>
            <w:hideMark/>
          </w:tcPr>
          <w:p w14:paraId="3A4337BB"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64,283,041.31 </w:t>
            </w:r>
          </w:p>
        </w:tc>
        <w:tc>
          <w:tcPr>
            <w:tcW w:w="738" w:type="pct"/>
            <w:tcBorders>
              <w:top w:val="nil"/>
              <w:left w:val="nil"/>
              <w:bottom w:val="single" w:sz="4" w:space="0" w:color="000000"/>
              <w:right w:val="single" w:sz="4" w:space="0" w:color="000000"/>
            </w:tcBorders>
            <w:shd w:val="clear" w:color="auto" w:fill="auto"/>
            <w:vAlign w:val="center"/>
            <w:hideMark/>
          </w:tcPr>
          <w:p w14:paraId="3FBDD394"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315,048 </w:t>
            </w:r>
          </w:p>
        </w:tc>
        <w:tc>
          <w:tcPr>
            <w:tcW w:w="835" w:type="pct"/>
            <w:tcBorders>
              <w:top w:val="nil"/>
              <w:left w:val="nil"/>
              <w:bottom w:val="single" w:sz="4" w:space="0" w:color="000000"/>
              <w:right w:val="single" w:sz="4" w:space="0" w:color="000000"/>
            </w:tcBorders>
            <w:shd w:val="clear" w:color="auto" w:fill="auto"/>
            <w:vAlign w:val="center"/>
            <w:hideMark/>
          </w:tcPr>
          <w:p w14:paraId="706ABC04"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192,453,527.55 </w:t>
            </w:r>
          </w:p>
        </w:tc>
        <w:tc>
          <w:tcPr>
            <w:tcW w:w="882" w:type="pct"/>
            <w:tcBorders>
              <w:top w:val="nil"/>
              <w:left w:val="nil"/>
              <w:bottom w:val="single" w:sz="4" w:space="0" w:color="000000"/>
              <w:right w:val="single" w:sz="4" w:space="0" w:color="000000"/>
            </w:tcBorders>
            <w:shd w:val="clear" w:color="auto" w:fill="auto"/>
            <w:vAlign w:val="center"/>
            <w:hideMark/>
          </w:tcPr>
          <w:p w14:paraId="49BBCAD5"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458,954,966.58 </w:t>
            </w:r>
          </w:p>
        </w:tc>
        <w:tc>
          <w:tcPr>
            <w:tcW w:w="770" w:type="pct"/>
            <w:tcBorders>
              <w:top w:val="nil"/>
              <w:left w:val="nil"/>
              <w:bottom w:val="single" w:sz="4" w:space="0" w:color="000000"/>
              <w:right w:val="single" w:sz="4" w:space="0" w:color="000000"/>
            </w:tcBorders>
            <w:shd w:val="clear" w:color="auto" w:fill="auto"/>
            <w:vAlign w:val="center"/>
            <w:hideMark/>
          </w:tcPr>
          <w:p w14:paraId="44611E14" w14:textId="77777777" w:rsidR="00C779B6" w:rsidRPr="00C779B6" w:rsidRDefault="00C779B6" w:rsidP="00C779B6">
            <w:pPr>
              <w:spacing w:after="0" w:line="240" w:lineRule="auto"/>
              <w:jc w:val="right"/>
              <w:rPr>
                <w:rFonts w:ascii="Arial Narrow" w:eastAsia="Times New Roman" w:hAnsi="Arial Narrow" w:cs="Arial"/>
                <w:color w:val="000000"/>
                <w:sz w:val="18"/>
                <w:szCs w:val="18"/>
                <w:lang w:eastAsia="en-PH"/>
              </w:rPr>
            </w:pPr>
            <w:r w:rsidRPr="00C779B6">
              <w:rPr>
                <w:rFonts w:ascii="Arial Narrow" w:eastAsia="Times New Roman" w:hAnsi="Arial Narrow" w:cs="Arial"/>
                <w:color w:val="000000"/>
                <w:sz w:val="18"/>
                <w:szCs w:val="18"/>
                <w:lang w:eastAsia="en-PH"/>
              </w:rPr>
              <w:t xml:space="preserve">     715,691,535.44 </w:t>
            </w:r>
          </w:p>
        </w:tc>
      </w:tr>
    </w:tbl>
    <w:p w14:paraId="71AD0BA0" w14:textId="77777777" w:rsidR="00753591" w:rsidRPr="00753591" w:rsidRDefault="00753591" w:rsidP="00753591">
      <w:pPr>
        <w:pBdr>
          <w:top w:val="nil"/>
          <w:left w:val="nil"/>
          <w:bottom w:val="nil"/>
          <w:right w:val="nil"/>
          <w:between w:val="nil"/>
        </w:pBdr>
        <w:spacing w:after="0" w:line="240" w:lineRule="auto"/>
        <w:ind w:left="851"/>
        <w:jc w:val="both"/>
        <w:rPr>
          <w:rFonts w:ascii="Arial" w:eastAsia="Arial" w:hAnsi="Arial" w:cs="Arial"/>
          <w:b/>
          <w:color w:val="000000"/>
          <w:sz w:val="24"/>
          <w:szCs w:val="24"/>
        </w:rPr>
      </w:pPr>
    </w:p>
    <w:tbl>
      <w:tblPr>
        <w:tblW w:w="4572" w:type="pct"/>
        <w:tblInd w:w="895" w:type="dxa"/>
        <w:tblCellMar>
          <w:left w:w="58" w:type="dxa"/>
          <w:right w:w="58" w:type="dxa"/>
        </w:tblCellMar>
        <w:tblLook w:val="04A0" w:firstRow="1" w:lastRow="0" w:firstColumn="1" w:lastColumn="0" w:noHBand="0" w:noVBand="1"/>
      </w:tblPr>
      <w:tblGrid>
        <w:gridCol w:w="1531"/>
        <w:gridCol w:w="1352"/>
        <w:gridCol w:w="1158"/>
        <w:gridCol w:w="1540"/>
        <w:gridCol w:w="1635"/>
        <w:gridCol w:w="1688"/>
      </w:tblGrid>
      <w:tr w:rsidR="006757F4" w:rsidRPr="00C73FCD" w14:paraId="0F2796C5" w14:textId="77777777" w:rsidTr="00D0561D">
        <w:trPr>
          <w:trHeight w:val="255"/>
        </w:trPr>
        <w:tc>
          <w:tcPr>
            <w:tcW w:w="860"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16A3F5BC"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OFFICE</w:t>
            </w:r>
          </w:p>
        </w:tc>
        <w:tc>
          <w:tcPr>
            <w:tcW w:w="759"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2B16E379"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STANDBY FUNDS</w:t>
            </w:r>
          </w:p>
        </w:tc>
        <w:tc>
          <w:tcPr>
            <w:tcW w:w="2433" w:type="pct"/>
            <w:gridSpan w:val="3"/>
            <w:tcBorders>
              <w:top w:val="single" w:sz="4" w:space="0" w:color="000000"/>
              <w:left w:val="nil"/>
              <w:bottom w:val="single" w:sz="4" w:space="0" w:color="000000"/>
              <w:right w:val="nil"/>
            </w:tcBorders>
            <w:shd w:val="clear" w:color="B7B7B7" w:fill="B7B7B7"/>
            <w:vAlign w:val="center"/>
            <w:hideMark/>
          </w:tcPr>
          <w:p w14:paraId="282158F3"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 xml:space="preserve"> STOCKPILE </w:t>
            </w:r>
          </w:p>
        </w:tc>
        <w:tc>
          <w:tcPr>
            <w:tcW w:w="948"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225E1A67"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TOTAL STANDBY FUNDS &amp; STOCKPILE</w:t>
            </w:r>
          </w:p>
        </w:tc>
      </w:tr>
      <w:tr w:rsidR="006757F4" w:rsidRPr="00C73FCD" w14:paraId="324306E1" w14:textId="77777777" w:rsidTr="00D0561D">
        <w:trPr>
          <w:trHeight w:val="540"/>
        </w:trPr>
        <w:tc>
          <w:tcPr>
            <w:tcW w:w="860" w:type="pct"/>
            <w:vMerge/>
            <w:tcBorders>
              <w:top w:val="single" w:sz="4" w:space="0" w:color="000000"/>
              <w:left w:val="single" w:sz="4" w:space="0" w:color="000000"/>
              <w:bottom w:val="single" w:sz="4" w:space="0" w:color="000000"/>
              <w:right w:val="single" w:sz="4" w:space="0" w:color="000000"/>
            </w:tcBorders>
            <w:vAlign w:val="center"/>
            <w:hideMark/>
          </w:tcPr>
          <w:p w14:paraId="7CCFC3A0"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759" w:type="pct"/>
            <w:vMerge/>
            <w:tcBorders>
              <w:top w:val="single" w:sz="4" w:space="0" w:color="000000"/>
              <w:left w:val="single" w:sz="4" w:space="0" w:color="000000"/>
              <w:bottom w:val="single" w:sz="4" w:space="0" w:color="000000"/>
              <w:right w:val="single" w:sz="4" w:space="0" w:color="000000"/>
            </w:tcBorders>
            <w:vAlign w:val="center"/>
            <w:hideMark/>
          </w:tcPr>
          <w:p w14:paraId="4990DCF1"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1515" w:type="pct"/>
            <w:gridSpan w:val="2"/>
            <w:tcBorders>
              <w:top w:val="single" w:sz="4" w:space="0" w:color="000000"/>
              <w:left w:val="nil"/>
              <w:bottom w:val="single" w:sz="4" w:space="0" w:color="000000"/>
              <w:right w:val="single" w:sz="4" w:space="0" w:color="000000"/>
            </w:tcBorders>
            <w:shd w:val="clear" w:color="B7B7B7" w:fill="B7B7B7"/>
            <w:vAlign w:val="center"/>
            <w:hideMark/>
          </w:tcPr>
          <w:p w14:paraId="5578E14A"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 xml:space="preserve"> FAMILY FOOD PACKS </w:t>
            </w:r>
          </w:p>
        </w:tc>
        <w:tc>
          <w:tcPr>
            <w:tcW w:w="918" w:type="pct"/>
            <w:vMerge w:val="restart"/>
            <w:tcBorders>
              <w:top w:val="nil"/>
              <w:left w:val="single" w:sz="4" w:space="0" w:color="000000"/>
              <w:bottom w:val="single" w:sz="4" w:space="0" w:color="000000"/>
              <w:right w:val="single" w:sz="4" w:space="0" w:color="000000"/>
            </w:tcBorders>
            <w:shd w:val="clear" w:color="B7B7B7" w:fill="B7B7B7"/>
            <w:vAlign w:val="center"/>
            <w:hideMark/>
          </w:tcPr>
          <w:p w14:paraId="1967C8A0"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OTHER FOOD AND NON-FOOD ITEMS (FNIs)</w:t>
            </w:r>
          </w:p>
        </w:tc>
        <w:tc>
          <w:tcPr>
            <w:tcW w:w="948" w:type="pct"/>
            <w:vMerge/>
            <w:tcBorders>
              <w:top w:val="single" w:sz="4" w:space="0" w:color="000000"/>
              <w:left w:val="single" w:sz="4" w:space="0" w:color="000000"/>
              <w:bottom w:val="single" w:sz="4" w:space="0" w:color="000000"/>
              <w:right w:val="single" w:sz="4" w:space="0" w:color="000000"/>
            </w:tcBorders>
            <w:vAlign w:val="center"/>
            <w:hideMark/>
          </w:tcPr>
          <w:p w14:paraId="3D885574"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r>
      <w:tr w:rsidR="006757F4" w:rsidRPr="00C73FCD" w14:paraId="60D2BEAE" w14:textId="77777777" w:rsidTr="00D0561D">
        <w:trPr>
          <w:trHeight w:val="270"/>
        </w:trPr>
        <w:tc>
          <w:tcPr>
            <w:tcW w:w="860" w:type="pct"/>
            <w:vMerge/>
            <w:tcBorders>
              <w:top w:val="single" w:sz="4" w:space="0" w:color="000000"/>
              <w:left w:val="single" w:sz="4" w:space="0" w:color="000000"/>
              <w:bottom w:val="single" w:sz="4" w:space="0" w:color="000000"/>
              <w:right w:val="single" w:sz="4" w:space="0" w:color="000000"/>
            </w:tcBorders>
            <w:vAlign w:val="center"/>
            <w:hideMark/>
          </w:tcPr>
          <w:p w14:paraId="506BA102"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759" w:type="pct"/>
            <w:vMerge/>
            <w:tcBorders>
              <w:top w:val="single" w:sz="4" w:space="0" w:color="000000"/>
              <w:left w:val="single" w:sz="4" w:space="0" w:color="000000"/>
              <w:bottom w:val="single" w:sz="4" w:space="0" w:color="000000"/>
              <w:right w:val="single" w:sz="4" w:space="0" w:color="000000"/>
            </w:tcBorders>
            <w:vAlign w:val="center"/>
            <w:hideMark/>
          </w:tcPr>
          <w:p w14:paraId="4C0C9734"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650" w:type="pct"/>
            <w:tcBorders>
              <w:top w:val="nil"/>
              <w:left w:val="nil"/>
              <w:bottom w:val="single" w:sz="4" w:space="0" w:color="000000"/>
              <w:right w:val="single" w:sz="4" w:space="0" w:color="000000"/>
            </w:tcBorders>
            <w:shd w:val="clear" w:color="B7B7B7" w:fill="B7B7B7"/>
            <w:vAlign w:val="center"/>
            <w:hideMark/>
          </w:tcPr>
          <w:p w14:paraId="1A1178B0"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 xml:space="preserve"> QUANTITY </w:t>
            </w:r>
          </w:p>
        </w:tc>
        <w:tc>
          <w:tcPr>
            <w:tcW w:w="865" w:type="pct"/>
            <w:tcBorders>
              <w:top w:val="nil"/>
              <w:left w:val="nil"/>
              <w:bottom w:val="single" w:sz="4" w:space="0" w:color="000000"/>
              <w:right w:val="single" w:sz="4" w:space="0" w:color="000000"/>
            </w:tcBorders>
            <w:shd w:val="clear" w:color="B7B7B7" w:fill="B7B7B7"/>
            <w:vAlign w:val="center"/>
            <w:hideMark/>
          </w:tcPr>
          <w:p w14:paraId="2B4FC6C3"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TOTAL COST</w:t>
            </w:r>
          </w:p>
        </w:tc>
        <w:tc>
          <w:tcPr>
            <w:tcW w:w="918" w:type="pct"/>
            <w:vMerge/>
            <w:tcBorders>
              <w:top w:val="nil"/>
              <w:left w:val="single" w:sz="4" w:space="0" w:color="000000"/>
              <w:bottom w:val="single" w:sz="4" w:space="0" w:color="000000"/>
              <w:right w:val="single" w:sz="4" w:space="0" w:color="000000"/>
            </w:tcBorders>
            <w:vAlign w:val="center"/>
            <w:hideMark/>
          </w:tcPr>
          <w:p w14:paraId="2E8903FA"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948" w:type="pct"/>
            <w:vMerge/>
            <w:tcBorders>
              <w:top w:val="single" w:sz="4" w:space="0" w:color="000000"/>
              <w:left w:val="single" w:sz="4" w:space="0" w:color="000000"/>
              <w:bottom w:val="single" w:sz="4" w:space="0" w:color="000000"/>
              <w:right w:val="single" w:sz="4" w:space="0" w:color="000000"/>
            </w:tcBorders>
            <w:vAlign w:val="center"/>
            <w:hideMark/>
          </w:tcPr>
          <w:p w14:paraId="596A5F31"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r>
      <w:tr w:rsidR="00172FB9" w:rsidRPr="00C73FCD" w14:paraId="312C1E8E"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DEEAF6" w:themeFill="accent1" w:themeFillTint="33"/>
            <w:vAlign w:val="center"/>
            <w:hideMark/>
          </w:tcPr>
          <w:p w14:paraId="0FE9F7EC" w14:textId="77777777" w:rsidR="00172FB9" w:rsidRPr="00C73FCD" w:rsidRDefault="00172FB9" w:rsidP="00172FB9">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TOTAL</w:t>
            </w:r>
          </w:p>
        </w:tc>
        <w:tc>
          <w:tcPr>
            <w:tcW w:w="759" w:type="pct"/>
            <w:tcBorders>
              <w:top w:val="nil"/>
              <w:left w:val="nil"/>
              <w:bottom w:val="single" w:sz="4" w:space="0" w:color="000000"/>
              <w:right w:val="single" w:sz="4" w:space="0" w:color="000000"/>
            </w:tcBorders>
            <w:shd w:val="clear" w:color="auto" w:fill="DEEAF6" w:themeFill="accent1" w:themeFillTint="33"/>
            <w:vAlign w:val="center"/>
            <w:hideMark/>
          </w:tcPr>
          <w:p w14:paraId="1DD8E2FE" w14:textId="5D663CC0" w:rsidR="00172FB9" w:rsidRPr="00172FB9" w:rsidRDefault="00172FB9" w:rsidP="00172FB9">
            <w:pPr>
              <w:spacing w:after="0" w:line="240" w:lineRule="auto"/>
              <w:ind w:right="57"/>
              <w:contextualSpacing/>
              <w:jc w:val="right"/>
              <w:rPr>
                <w:rFonts w:ascii="Arial Narrow" w:hAnsi="Arial Narrow" w:cs="Arial"/>
                <w:b/>
                <w:bCs/>
                <w:color w:val="000000"/>
                <w:sz w:val="20"/>
                <w:szCs w:val="20"/>
              </w:rPr>
            </w:pPr>
            <w:r w:rsidRPr="00172FB9">
              <w:rPr>
                <w:rFonts w:ascii="Arial Narrow" w:hAnsi="Arial Narrow" w:cs="Arial"/>
                <w:b/>
                <w:bCs/>
                <w:color w:val="000000"/>
                <w:sz w:val="20"/>
                <w:szCs w:val="20"/>
              </w:rPr>
              <w:t xml:space="preserve">198,664,369.43 </w:t>
            </w:r>
          </w:p>
        </w:tc>
        <w:tc>
          <w:tcPr>
            <w:tcW w:w="650" w:type="pct"/>
            <w:tcBorders>
              <w:top w:val="nil"/>
              <w:left w:val="nil"/>
              <w:bottom w:val="single" w:sz="4" w:space="0" w:color="000000"/>
              <w:right w:val="single" w:sz="4" w:space="0" w:color="000000"/>
            </w:tcBorders>
            <w:shd w:val="clear" w:color="auto" w:fill="DEEAF6" w:themeFill="accent1" w:themeFillTint="33"/>
            <w:vAlign w:val="center"/>
            <w:hideMark/>
          </w:tcPr>
          <w:p w14:paraId="2488DDFA" w14:textId="3BC64202" w:rsidR="00172FB9" w:rsidRPr="00172FB9" w:rsidRDefault="00172FB9" w:rsidP="00172FB9">
            <w:pPr>
              <w:spacing w:after="0" w:line="240" w:lineRule="auto"/>
              <w:ind w:right="57"/>
              <w:contextualSpacing/>
              <w:jc w:val="right"/>
              <w:rPr>
                <w:rFonts w:ascii="Arial Narrow" w:hAnsi="Arial Narrow" w:cs="Arial"/>
                <w:b/>
                <w:bCs/>
                <w:color w:val="000000"/>
                <w:sz w:val="20"/>
                <w:szCs w:val="20"/>
              </w:rPr>
            </w:pPr>
            <w:r w:rsidRPr="00172FB9">
              <w:rPr>
                <w:rFonts w:ascii="Arial Narrow" w:hAnsi="Arial Narrow" w:cs="Arial"/>
                <w:b/>
                <w:bCs/>
                <w:color w:val="000000"/>
                <w:sz w:val="20"/>
                <w:szCs w:val="20"/>
              </w:rPr>
              <w:t xml:space="preserve">451,686 </w:t>
            </w:r>
          </w:p>
        </w:tc>
        <w:tc>
          <w:tcPr>
            <w:tcW w:w="865" w:type="pct"/>
            <w:tcBorders>
              <w:top w:val="nil"/>
              <w:left w:val="nil"/>
              <w:bottom w:val="single" w:sz="4" w:space="0" w:color="000000"/>
              <w:right w:val="single" w:sz="4" w:space="0" w:color="000000"/>
            </w:tcBorders>
            <w:shd w:val="clear" w:color="auto" w:fill="DEEAF6" w:themeFill="accent1" w:themeFillTint="33"/>
            <w:vAlign w:val="center"/>
            <w:hideMark/>
          </w:tcPr>
          <w:p w14:paraId="31B88009" w14:textId="6E80E5E1" w:rsidR="00172FB9" w:rsidRPr="00172FB9" w:rsidRDefault="00172FB9" w:rsidP="00172FB9">
            <w:pPr>
              <w:spacing w:after="0" w:line="240" w:lineRule="auto"/>
              <w:ind w:right="57"/>
              <w:contextualSpacing/>
              <w:jc w:val="right"/>
              <w:rPr>
                <w:rFonts w:ascii="Arial Narrow" w:hAnsi="Arial Narrow" w:cs="Arial"/>
                <w:b/>
                <w:bCs/>
                <w:color w:val="000000"/>
                <w:sz w:val="20"/>
                <w:szCs w:val="20"/>
              </w:rPr>
            </w:pPr>
            <w:r w:rsidRPr="00172FB9">
              <w:rPr>
                <w:rFonts w:ascii="Arial Narrow" w:hAnsi="Arial Narrow" w:cs="Arial"/>
                <w:b/>
                <w:bCs/>
                <w:color w:val="000000"/>
                <w:sz w:val="20"/>
                <w:szCs w:val="20"/>
              </w:rPr>
              <w:t xml:space="preserve">273,719,892.54 </w:t>
            </w:r>
          </w:p>
        </w:tc>
        <w:tc>
          <w:tcPr>
            <w:tcW w:w="918" w:type="pct"/>
            <w:tcBorders>
              <w:top w:val="nil"/>
              <w:left w:val="nil"/>
              <w:bottom w:val="single" w:sz="4" w:space="0" w:color="000000"/>
              <w:right w:val="single" w:sz="4" w:space="0" w:color="000000"/>
            </w:tcBorders>
            <w:shd w:val="clear" w:color="auto" w:fill="DEEAF6" w:themeFill="accent1" w:themeFillTint="33"/>
            <w:vAlign w:val="center"/>
            <w:hideMark/>
          </w:tcPr>
          <w:p w14:paraId="0E14A64D" w14:textId="2F64D0A6" w:rsidR="00172FB9" w:rsidRPr="00172FB9" w:rsidRDefault="00172FB9" w:rsidP="00172FB9">
            <w:pPr>
              <w:spacing w:after="0" w:line="240" w:lineRule="auto"/>
              <w:ind w:right="57"/>
              <w:contextualSpacing/>
              <w:jc w:val="right"/>
              <w:rPr>
                <w:rFonts w:ascii="Arial Narrow" w:hAnsi="Arial Narrow" w:cs="Arial"/>
                <w:b/>
                <w:bCs/>
                <w:color w:val="000000"/>
                <w:sz w:val="20"/>
                <w:szCs w:val="20"/>
              </w:rPr>
            </w:pPr>
            <w:r w:rsidRPr="00172FB9">
              <w:rPr>
                <w:rFonts w:ascii="Arial Narrow" w:hAnsi="Arial Narrow" w:cs="Arial"/>
                <w:b/>
                <w:bCs/>
                <w:color w:val="000000"/>
                <w:sz w:val="20"/>
                <w:szCs w:val="20"/>
              </w:rPr>
              <w:t xml:space="preserve">668,156,142.15 </w:t>
            </w:r>
          </w:p>
        </w:tc>
        <w:tc>
          <w:tcPr>
            <w:tcW w:w="948" w:type="pct"/>
            <w:tcBorders>
              <w:top w:val="nil"/>
              <w:left w:val="nil"/>
              <w:bottom w:val="single" w:sz="4" w:space="0" w:color="000000"/>
              <w:right w:val="single" w:sz="4" w:space="0" w:color="000000"/>
            </w:tcBorders>
            <w:shd w:val="clear" w:color="auto" w:fill="DEEAF6" w:themeFill="accent1" w:themeFillTint="33"/>
            <w:vAlign w:val="center"/>
            <w:hideMark/>
          </w:tcPr>
          <w:p w14:paraId="493C80F5" w14:textId="60A51274" w:rsidR="00172FB9" w:rsidRPr="00172FB9" w:rsidRDefault="00172FB9" w:rsidP="00172FB9">
            <w:pPr>
              <w:spacing w:after="0" w:line="240" w:lineRule="auto"/>
              <w:ind w:right="57"/>
              <w:contextualSpacing/>
              <w:jc w:val="right"/>
              <w:rPr>
                <w:rFonts w:ascii="Arial Narrow" w:hAnsi="Arial Narrow" w:cs="Arial"/>
                <w:b/>
                <w:bCs/>
                <w:color w:val="000000"/>
                <w:sz w:val="20"/>
                <w:szCs w:val="20"/>
              </w:rPr>
            </w:pPr>
            <w:r w:rsidRPr="00172FB9">
              <w:rPr>
                <w:rFonts w:ascii="Arial Narrow" w:hAnsi="Arial Narrow" w:cs="Arial"/>
                <w:b/>
                <w:bCs/>
                <w:color w:val="000000"/>
                <w:sz w:val="20"/>
                <w:szCs w:val="20"/>
              </w:rPr>
              <w:t xml:space="preserve">1,140,540,404.12 </w:t>
            </w:r>
          </w:p>
        </w:tc>
      </w:tr>
      <w:tr w:rsidR="00172FB9" w:rsidRPr="00C73FCD" w14:paraId="27F4D40E"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049D087A" w14:textId="77777777" w:rsidR="00172FB9" w:rsidRPr="00C73FCD" w:rsidRDefault="00172FB9" w:rsidP="00172FB9">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DSWD CO</w:t>
            </w:r>
          </w:p>
        </w:tc>
        <w:tc>
          <w:tcPr>
            <w:tcW w:w="759" w:type="pct"/>
            <w:tcBorders>
              <w:top w:val="nil"/>
              <w:left w:val="nil"/>
              <w:bottom w:val="single" w:sz="4" w:space="0" w:color="000000"/>
              <w:right w:val="single" w:sz="4" w:space="0" w:color="000000"/>
            </w:tcBorders>
            <w:shd w:val="clear" w:color="auto" w:fill="auto"/>
            <w:vAlign w:val="center"/>
            <w:hideMark/>
          </w:tcPr>
          <w:p w14:paraId="175AF076" w14:textId="237B35D4"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124,381,328.12 </w:t>
            </w:r>
          </w:p>
        </w:tc>
        <w:tc>
          <w:tcPr>
            <w:tcW w:w="650" w:type="pct"/>
            <w:tcBorders>
              <w:top w:val="nil"/>
              <w:left w:val="nil"/>
              <w:bottom w:val="single" w:sz="4" w:space="0" w:color="000000"/>
              <w:right w:val="single" w:sz="4" w:space="0" w:color="000000"/>
            </w:tcBorders>
            <w:shd w:val="clear" w:color="auto" w:fill="auto"/>
            <w:vAlign w:val="center"/>
            <w:hideMark/>
          </w:tcPr>
          <w:p w14:paraId="16C7A4EE" w14:textId="71650366"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 </w:t>
            </w:r>
          </w:p>
        </w:tc>
        <w:tc>
          <w:tcPr>
            <w:tcW w:w="865" w:type="pct"/>
            <w:tcBorders>
              <w:top w:val="nil"/>
              <w:left w:val="nil"/>
              <w:bottom w:val="single" w:sz="4" w:space="0" w:color="000000"/>
              <w:right w:val="single" w:sz="4" w:space="0" w:color="000000"/>
            </w:tcBorders>
            <w:shd w:val="clear" w:color="auto" w:fill="auto"/>
            <w:vAlign w:val="center"/>
            <w:hideMark/>
          </w:tcPr>
          <w:p w14:paraId="040EEB92" w14:textId="7E9182F7"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vAlign w:val="center"/>
            <w:hideMark/>
          </w:tcPr>
          <w:p w14:paraId="4B7000DA" w14:textId="34546828"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 </w:t>
            </w:r>
          </w:p>
        </w:tc>
        <w:tc>
          <w:tcPr>
            <w:tcW w:w="948" w:type="pct"/>
            <w:tcBorders>
              <w:top w:val="nil"/>
              <w:left w:val="nil"/>
              <w:bottom w:val="single" w:sz="4" w:space="0" w:color="000000"/>
              <w:right w:val="single" w:sz="4" w:space="0" w:color="000000"/>
            </w:tcBorders>
            <w:shd w:val="clear" w:color="auto" w:fill="auto"/>
            <w:vAlign w:val="center"/>
            <w:hideMark/>
          </w:tcPr>
          <w:p w14:paraId="22DD899B" w14:textId="38E97286"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124,381,328.12 </w:t>
            </w:r>
          </w:p>
        </w:tc>
      </w:tr>
      <w:tr w:rsidR="00172FB9" w:rsidRPr="00C73FCD" w14:paraId="72CBF052"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7677E145" w14:textId="77777777" w:rsidR="00172FB9" w:rsidRPr="00C73FCD" w:rsidRDefault="00172FB9" w:rsidP="00172FB9">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NRLMB NROC</w:t>
            </w:r>
          </w:p>
        </w:tc>
        <w:tc>
          <w:tcPr>
            <w:tcW w:w="759" w:type="pct"/>
            <w:tcBorders>
              <w:top w:val="nil"/>
              <w:left w:val="nil"/>
              <w:bottom w:val="single" w:sz="4" w:space="0" w:color="000000"/>
              <w:right w:val="single" w:sz="4" w:space="0" w:color="000000"/>
            </w:tcBorders>
            <w:shd w:val="clear" w:color="auto" w:fill="auto"/>
            <w:vAlign w:val="center"/>
            <w:hideMark/>
          </w:tcPr>
          <w:p w14:paraId="7009F924" w14:textId="70DF8C7A"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 </w:t>
            </w:r>
          </w:p>
        </w:tc>
        <w:tc>
          <w:tcPr>
            <w:tcW w:w="650" w:type="pct"/>
            <w:tcBorders>
              <w:top w:val="nil"/>
              <w:left w:val="nil"/>
              <w:bottom w:val="single" w:sz="4" w:space="0" w:color="000000"/>
              <w:right w:val="single" w:sz="4" w:space="0" w:color="000000"/>
            </w:tcBorders>
            <w:shd w:val="clear" w:color="auto" w:fill="auto"/>
            <w:vAlign w:val="center"/>
            <w:hideMark/>
          </w:tcPr>
          <w:p w14:paraId="49A7DBA1" w14:textId="34C7A031"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46,049 </w:t>
            </w:r>
          </w:p>
        </w:tc>
        <w:tc>
          <w:tcPr>
            <w:tcW w:w="865" w:type="pct"/>
            <w:tcBorders>
              <w:top w:val="nil"/>
              <w:left w:val="nil"/>
              <w:bottom w:val="single" w:sz="4" w:space="0" w:color="000000"/>
              <w:right w:val="single" w:sz="4" w:space="0" w:color="000000"/>
            </w:tcBorders>
            <w:shd w:val="clear" w:color="auto" w:fill="auto"/>
            <w:vAlign w:val="center"/>
            <w:hideMark/>
          </w:tcPr>
          <w:p w14:paraId="47A18B93" w14:textId="1FF490E7"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30,431,185.00 </w:t>
            </w:r>
          </w:p>
        </w:tc>
        <w:tc>
          <w:tcPr>
            <w:tcW w:w="918" w:type="pct"/>
            <w:tcBorders>
              <w:top w:val="nil"/>
              <w:left w:val="nil"/>
              <w:bottom w:val="single" w:sz="4" w:space="0" w:color="000000"/>
              <w:right w:val="single" w:sz="4" w:space="0" w:color="000000"/>
            </w:tcBorders>
            <w:shd w:val="clear" w:color="auto" w:fill="auto"/>
            <w:vAlign w:val="center"/>
            <w:hideMark/>
          </w:tcPr>
          <w:p w14:paraId="1B74694F" w14:textId="1939B3C0"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94,328,681.69 </w:t>
            </w:r>
          </w:p>
        </w:tc>
        <w:tc>
          <w:tcPr>
            <w:tcW w:w="948" w:type="pct"/>
            <w:tcBorders>
              <w:top w:val="nil"/>
              <w:left w:val="nil"/>
              <w:bottom w:val="single" w:sz="4" w:space="0" w:color="000000"/>
              <w:right w:val="single" w:sz="4" w:space="0" w:color="000000"/>
            </w:tcBorders>
            <w:shd w:val="clear" w:color="auto" w:fill="auto"/>
            <w:vAlign w:val="center"/>
            <w:hideMark/>
          </w:tcPr>
          <w:p w14:paraId="5BF8CC8C" w14:textId="17CD0902"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124,759,866.69 </w:t>
            </w:r>
          </w:p>
        </w:tc>
      </w:tr>
      <w:tr w:rsidR="00172FB9" w:rsidRPr="00C73FCD" w14:paraId="098FCB20"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14CF7559" w14:textId="77777777" w:rsidR="00172FB9" w:rsidRPr="00C73FCD" w:rsidRDefault="00172FB9" w:rsidP="00172FB9">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NRLMB VDRC</w:t>
            </w:r>
          </w:p>
        </w:tc>
        <w:tc>
          <w:tcPr>
            <w:tcW w:w="759" w:type="pct"/>
            <w:tcBorders>
              <w:top w:val="nil"/>
              <w:left w:val="nil"/>
              <w:bottom w:val="single" w:sz="4" w:space="0" w:color="000000"/>
              <w:right w:val="single" w:sz="4" w:space="0" w:color="000000"/>
            </w:tcBorders>
            <w:shd w:val="clear" w:color="auto" w:fill="auto"/>
            <w:vAlign w:val="center"/>
            <w:hideMark/>
          </w:tcPr>
          <w:p w14:paraId="75D59F09" w14:textId="26F26516"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 </w:t>
            </w:r>
          </w:p>
        </w:tc>
        <w:tc>
          <w:tcPr>
            <w:tcW w:w="650" w:type="pct"/>
            <w:tcBorders>
              <w:top w:val="nil"/>
              <w:left w:val="nil"/>
              <w:bottom w:val="single" w:sz="4" w:space="0" w:color="000000"/>
              <w:right w:val="single" w:sz="4" w:space="0" w:color="000000"/>
            </w:tcBorders>
            <w:shd w:val="clear" w:color="auto" w:fill="auto"/>
            <w:vAlign w:val="center"/>
            <w:hideMark/>
          </w:tcPr>
          <w:p w14:paraId="1F4315F5" w14:textId="35C44515"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51,729 </w:t>
            </w:r>
          </w:p>
        </w:tc>
        <w:tc>
          <w:tcPr>
            <w:tcW w:w="865" w:type="pct"/>
            <w:tcBorders>
              <w:top w:val="nil"/>
              <w:left w:val="nil"/>
              <w:bottom w:val="single" w:sz="4" w:space="0" w:color="000000"/>
              <w:right w:val="single" w:sz="4" w:space="0" w:color="000000"/>
            </w:tcBorders>
            <w:shd w:val="clear" w:color="auto" w:fill="auto"/>
            <w:vAlign w:val="center"/>
            <w:hideMark/>
          </w:tcPr>
          <w:p w14:paraId="6BAE0AE1" w14:textId="684103DC"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32,831,910.00 </w:t>
            </w:r>
          </w:p>
        </w:tc>
        <w:tc>
          <w:tcPr>
            <w:tcW w:w="918" w:type="pct"/>
            <w:tcBorders>
              <w:top w:val="nil"/>
              <w:left w:val="nil"/>
              <w:bottom w:val="single" w:sz="4" w:space="0" w:color="000000"/>
              <w:right w:val="single" w:sz="4" w:space="0" w:color="000000"/>
            </w:tcBorders>
            <w:shd w:val="clear" w:color="auto" w:fill="auto"/>
            <w:vAlign w:val="center"/>
            <w:hideMark/>
          </w:tcPr>
          <w:p w14:paraId="0EE44065" w14:textId="61C6539A"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49,058,205.80 </w:t>
            </w:r>
          </w:p>
        </w:tc>
        <w:tc>
          <w:tcPr>
            <w:tcW w:w="948" w:type="pct"/>
            <w:tcBorders>
              <w:top w:val="nil"/>
              <w:left w:val="nil"/>
              <w:bottom w:val="single" w:sz="4" w:space="0" w:color="000000"/>
              <w:right w:val="single" w:sz="4" w:space="0" w:color="000000"/>
            </w:tcBorders>
            <w:shd w:val="clear" w:color="auto" w:fill="auto"/>
            <w:vAlign w:val="center"/>
            <w:hideMark/>
          </w:tcPr>
          <w:p w14:paraId="65871078" w14:textId="6B32FFDE"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81,890,115.80 </w:t>
            </w:r>
          </w:p>
        </w:tc>
      </w:tr>
      <w:tr w:rsidR="00172FB9" w:rsidRPr="00C73FCD" w14:paraId="7112C4D4"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6C7043F1" w14:textId="77777777" w:rsidR="00172FB9" w:rsidRPr="00C73FCD" w:rsidRDefault="00172FB9" w:rsidP="00172FB9">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DSWD FO VI</w:t>
            </w:r>
          </w:p>
        </w:tc>
        <w:tc>
          <w:tcPr>
            <w:tcW w:w="759" w:type="pct"/>
            <w:tcBorders>
              <w:top w:val="nil"/>
              <w:left w:val="nil"/>
              <w:bottom w:val="single" w:sz="4" w:space="0" w:color="000000"/>
              <w:right w:val="single" w:sz="4" w:space="0" w:color="000000"/>
            </w:tcBorders>
            <w:shd w:val="clear" w:color="auto" w:fill="auto"/>
            <w:vAlign w:val="center"/>
            <w:hideMark/>
          </w:tcPr>
          <w:p w14:paraId="29EB7308" w14:textId="699E1C52"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5,000,000.00 </w:t>
            </w:r>
          </w:p>
        </w:tc>
        <w:tc>
          <w:tcPr>
            <w:tcW w:w="650" w:type="pct"/>
            <w:tcBorders>
              <w:top w:val="nil"/>
              <w:left w:val="nil"/>
              <w:bottom w:val="single" w:sz="4" w:space="0" w:color="000000"/>
              <w:right w:val="single" w:sz="4" w:space="0" w:color="000000"/>
            </w:tcBorders>
            <w:shd w:val="clear" w:color="auto" w:fill="auto"/>
            <w:vAlign w:val="center"/>
            <w:hideMark/>
          </w:tcPr>
          <w:p w14:paraId="48A8C4C2" w14:textId="3B87B6CE"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27,251 </w:t>
            </w:r>
          </w:p>
        </w:tc>
        <w:tc>
          <w:tcPr>
            <w:tcW w:w="865" w:type="pct"/>
            <w:tcBorders>
              <w:top w:val="nil"/>
              <w:left w:val="nil"/>
              <w:bottom w:val="single" w:sz="4" w:space="0" w:color="000000"/>
              <w:right w:val="single" w:sz="4" w:space="0" w:color="000000"/>
            </w:tcBorders>
            <w:shd w:val="clear" w:color="auto" w:fill="auto"/>
            <w:vAlign w:val="center"/>
            <w:hideMark/>
          </w:tcPr>
          <w:p w14:paraId="0D9131ED" w14:textId="30A63820"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11,645,906.00 </w:t>
            </w:r>
          </w:p>
        </w:tc>
        <w:tc>
          <w:tcPr>
            <w:tcW w:w="918" w:type="pct"/>
            <w:tcBorders>
              <w:top w:val="nil"/>
              <w:left w:val="nil"/>
              <w:bottom w:val="single" w:sz="4" w:space="0" w:color="000000"/>
              <w:right w:val="single" w:sz="4" w:space="0" w:color="000000"/>
            </w:tcBorders>
            <w:shd w:val="clear" w:color="auto" w:fill="auto"/>
            <w:vAlign w:val="center"/>
            <w:hideMark/>
          </w:tcPr>
          <w:p w14:paraId="163516B5" w14:textId="3D0E3BE0"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31,827,895.64 </w:t>
            </w:r>
          </w:p>
        </w:tc>
        <w:tc>
          <w:tcPr>
            <w:tcW w:w="948" w:type="pct"/>
            <w:tcBorders>
              <w:top w:val="nil"/>
              <w:left w:val="nil"/>
              <w:bottom w:val="single" w:sz="4" w:space="0" w:color="000000"/>
              <w:right w:val="single" w:sz="4" w:space="0" w:color="000000"/>
            </w:tcBorders>
            <w:shd w:val="clear" w:color="auto" w:fill="auto"/>
            <w:vAlign w:val="center"/>
            <w:hideMark/>
          </w:tcPr>
          <w:p w14:paraId="0DB4EDC8" w14:textId="52C661B9"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48,473,801.64 </w:t>
            </w:r>
          </w:p>
        </w:tc>
      </w:tr>
      <w:tr w:rsidR="00172FB9" w:rsidRPr="00C73FCD" w14:paraId="5CCAD0E3"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7815FB8A" w14:textId="77777777" w:rsidR="00172FB9" w:rsidRPr="00C73FCD" w:rsidRDefault="00172FB9" w:rsidP="00172FB9">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DSWD FO VII</w:t>
            </w:r>
          </w:p>
        </w:tc>
        <w:tc>
          <w:tcPr>
            <w:tcW w:w="759" w:type="pct"/>
            <w:tcBorders>
              <w:top w:val="nil"/>
              <w:left w:val="nil"/>
              <w:bottom w:val="single" w:sz="4" w:space="0" w:color="000000"/>
              <w:right w:val="single" w:sz="4" w:space="0" w:color="000000"/>
            </w:tcBorders>
            <w:shd w:val="clear" w:color="auto" w:fill="auto"/>
            <w:vAlign w:val="center"/>
            <w:hideMark/>
          </w:tcPr>
          <w:p w14:paraId="7E5FC727" w14:textId="549AC463"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5,000,000.00 </w:t>
            </w:r>
          </w:p>
        </w:tc>
        <w:tc>
          <w:tcPr>
            <w:tcW w:w="650" w:type="pct"/>
            <w:tcBorders>
              <w:top w:val="nil"/>
              <w:left w:val="nil"/>
              <w:bottom w:val="single" w:sz="4" w:space="0" w:color="000000"/>
              <w:right w:val="single" w:sz="4" w:space="0" w:color="000000"/>
            </w:tcBorders>
            <w:shd w:val="clear" w:color="auto" w:fill="auto"/>
            <w:vAlign w:val="center"/>
            <w:hideMark/>
          </w:tcPr>
          <w:p w14:paraId="3B682445" w14:textId="7EB68D1F"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23,181 </w:t>
            </w:r>
          </w:p>
        </w:tc>
        <w:tc>
          <w:tcPr>
            <w:tcW w:w="865" w:type="pct"/>
            <w:tcBorders>
              <w:top w:val="nil"/>
              <w:left w:val="nil"/>
              <w:bottom w:val="single" w:sz="4" w:space="0" w:color="000000"/>
              <w:right w:val="single" w:sz="4" w:space="0" w:color="000000"/>
            </w:tcBorders>
            <w:shd w:val="clear" w:color="auto" w:fill="auto"/>
            <w:vAlign w:val="center"/>
            <w:hideMark/>
          </w:tcPr>
          <w:p w14:paraId="254443B5" w14:textId="05E08811"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13,213,170.00 </w:t>
            </w:r>
          </w:p>
        </w:tc>
        <w:tc>
          <w:tcPr>
            <w:tcW w:w="918" w:type="pct"/>
            <w:tcBorders>
              <w:top w:val="nil"/>
              <w:left w:val="nil"/>
              <w:bottom w:val="single" w:sz="4" w:space="0" w:color="000000"/>
              <w:right w:val="single" w:sz="4" w:space="0" w:color="000000"/>
            </w:tcBorders>
            <w:shd w:val="clear" w:color="auto" w:fill="auto"/>
            <w:vAlign w:val="center"/>
            <w:hideMark/>
          </w:tcPr>
          <w:p w14:paraId="46E64C06" w14:textId="0D3DDD86"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46,812,079.00 </w:t>
            </w:r>
          </w:p>
        </w:tc>
        <w:tc>
          <w:tcPr>
            <w:tcW w:w="948" w:type="pct"/>
            <w:tcBorders>
              <w:top w:val="nil"/>
              <w:left w:val="nil"/>
              <w:bottom w:val="single" w:sz="4" w:space="0" w:color="000000"/>
              <w:right w:val="single" w:sz="4" w:space="0" w:color="000000"/>
            </w:tcBorders>
            <w:shd w:val="clear" w:color="auto" w:fill="auto"/>
            <w:vAlign w:val="center"/>
            <w:hideMark/>
          </w:tcPr>
          <w:p w14:paraId="0BFF50C8" w14:textId="494A12FC"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65,025,249.00 </w:t>
            </w:r>
          </w:p>
        </w:tc>
      </w:tr>
      <w:tr w:rsidR="00172FB9" w:rsidRPr="00C73FCD" w14:paraId="4ED7E4A2"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6BBC7233" w14:textId="77777777" w:rsidR="00172FB9" w:rsidRPr="00C73FCD" w:rsidRDefault="00172FB9" w:rsidP="00172FB9">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Other FOs</w:t>
            </w:r>
          </w:p>
        </w:tc>
        <w:tc>
          <w:tcPr>
            <w:tcW w:w="759" w:type="pct"/>
            <w:tcBorders>
              <w:top w:val="nil"/>
              <w:left w:val="nil"/>
              <w:bottom w:val="single" w:sz="4" w:space="0" w:color="000000"/>
              <w:right w:val="single" w:sz="4" w:space="0" w:color="000000"/>
            </w:tcBorders>
            <w:shd w:val="clear" w:color="auto" w:fill="auto"/>
            <w:vAlign w:val="center"/>
            <w:hideMark/>
          </w:tcPr>
          <w:p w14:paraId="3775F149" w14:textId="2B219167"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64,283,041.31 </w:t>
            </w:r>
          </w:p>
        </w:tc>
        <w:tc>
          <w:tcPr>
            <w:tcW w:w="650" w:type="pct"/>
            <w:tcBorders>
              <w:top w:val="nil"/>
              <w:left w:val="nil"/>
              <w:bottom w:val="single" w:sz="4" w:space="0" w:color="000000"/>
              <w:right w:val="single" w:sz="4" w:space="0" w:color="000000"/>
            </w:tcBorders>
            <w:shd w:val="clear" w:color="auto" w:fill="auto"/>
            <w:vAlign w:val="center"/>
            <w:hideMark/>
          </w:tcPr>
          <w:p w14:paraId="42B64095" w14:textId="780BDCA4"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303,476 </w:t>
            </w:r>
          </w:p>
        </w:tc>
        <w:tc>
          <w:tcPr>
            <w:tcW w:w="865" w:type="pct"/>
            <w:tcBorders>
              <w:top w:val="nil"/>
              <w:left w:val="nil"/>
              <w:bottom w:val="single" w:sz="4" w:space="0" w:color="000000"/>
              <w:right w:val="single" w:sz="4" w:space="0" w:color="000000"/>
            </w:tcBorders>
            <w:shd w:val="clear" w:color="auto" w:fill="auto"/>
            <w:vAlign w:val="center"/>
            <w:hideMark/>
          </w:tcPr>
          <w:p w14:paraId="64D85D68" w14:textId="329B4A9D"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185,597,721.54 </w:t>
            </w:r>
          </w:p>
        </w:tc>
        <w:tc>
          <w:tcPr>
            <w:tcW w:w="918" w:type="pct"/>
            <w:tcBorders>
              <w:top w:val="nil"/>
              <w:left w:val="nil"/>
              <w:bottom w:val="single" w:sz="4" w:space="0" w:color="000000"/>
              <w:right w:val="single" w:sz="4" w:space="0" w:color="000000"/>
            </w:tcBorders>
            <w:shd w:val="clear" w:color="auto" w:fill="auto"/>
            <w:vAlign w:val="center"/>
            <w:hideMark/>
          </w:tcPr>
          <w:p w14:paraId="5B845158" w14:textId="73AD6EA2"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446,129,280.02 </w:t>
            </w:r>
          </w:p>
        </w:tc>
        <w:tc>
          <w:tcPr>
            <w:tcW w:w="948" w:type="pct"/>
            <w:tcBorders>
              <w:top w:val="nil"/>
              <w:left w:val="nil"/>
              <w:bottom w:val="single" w:sz="4" w:space="0" w:color="000000"/>
              <w:right w:val="single" w:sz="4" w:space="0" w:color="000000"/>
            </w:tcBorders>
            <w:shd w:val="clear" w:color="auto" w:fill="auto"/>
            <w:vAlign w:val="center"/>
            <w:hideMark/>
          </w:tcPr>
          <w:p w14:paraId="7E3192C1" w14:textId="6D34EE79" w:rsidR="00172FB9" w:rsidRPr="00172FB9" w:rsidRDefault="00172FB9" w:rsidP="00172FB9">
            <w:pPr>
              <w:spacing w:after="0" w:line="240" w:lineRule="auto"/>
              <w:ind w:right="57"/>
              <w:contextualSpacing/>
              <w:jc w:val="right"/>
              <w:rPr>
                <w:rFonts w:ascii="Arial Narrow" w:hAnsi="Arial Narrow" w:cs="Arial"/>
                <w:color w:val="000000"/>
                <w:sz w:val="20"/>
                <w:szCs w:val="20"/>
              </w:rPr>
            </w:pPr>
            <w:r w:rsidRPr="00172FB9">
              <w:rPr>
                <w:rFonts w:ascii="Arial Narrow" w:hAnsi="Arial Narrow" w:cs="Arial"/>
                <w:color w:val="000000"/>
                <w:sz w:val="20"/>
                <w:szCs w:val="20"/>
              </w:rPr>
              <w:t xml:space="preserve">696,010,042.87 </w:t>
            </w:r>
          </w:p>
        </w:tc>
      </w:tr>
    </w:tbl>
    <w:p w14:paraId="4B6AF1B1" w14:textId="77C46123" w:rsidR="0020529A" w:rsidRDefault="006F3BB4" w:rsidP="00700077">
      <w:pPr>
        <w:spacing w:after="0" w:line="240" w:lineRule="auto"/>
        <w:ind w:left="900"/>
        <w:jc w:val="both"/>
        <w:rPr>
          <w:rFonts w:ascii="Arial" w:eastAsia="Arial" w:hAnsi="Arial" w:cs="Arial"/>
          <w:sz w:val="16"/>
          <w:szCs w:val="16"/>
        </w:rPr>
      </w:pPr>
      <w:r>
        <w:rPr>
          <w:rFonts w:ascii="Arial" w:eastAsia="Arial" w:hAnsi="Arial" w:cs="Arial"/>
          <w:i/>
          <w:color w:val="000000"/>
          <w:sz w:val="16"/>
          <w:szCs w:val="16"/>
        </w:rPr>
        <w:t xml:space="preserve">Note: </w:t>
      </w:r>
      <w:r w:rsidR="00E8334A">
        <w:rPr>
          <w:rFonts w:ascii="Arial" w:eastAsia="Arial" w:hAnsi="Arial" w:cs="Arial"/>
          <w:i/>
          <w:color w:val="000000"/>
          <w:sz w:val="16"/>
          <w:szCs w:val="16"/>
        </w:rPr>
        <w:t>T</w:t>
      </w:r>
      <w:r w:rsidR="00850EB5">
        <w:rPr>
          <w:rFonts w:ascii="Arial" w:eastAsia="Arial" w:hAnsi="Arial" w:cs="Arial"/>
          <w:i/>
          <w:color w:val="000000"/>
          <w:sz w:val="16"/>
          <w:szCs w:val="16"/>
        </w:rPr>
        <w:t xml:space="preserve">he Inventory Summary is as of </w:t>
      </w:r>
      <w:r w:rsidR="0021151C">
        <w:rPr>
          <w:rFonts w:ascii="Arial" w:eastAsia="Arial" w:hAnsi="Arial" w:cs="Arial"/>
          <w:i/>
          <w:color w:val="000000"/>
          <w:sz w:val="16"/>
          <w:szCs w:val="16"/>
        </w:rPr>
        <w:t>0</w:t>
      </w:r>
      <w:r w:rsidR="00C779B6">
        <w:rPr>
          <w:rFonts w:ascii="Arial" w:eastAsia="Arial" w:hAnsi="Arial" w:cs="Arial"/>
          <w:i/>
          <w:color w:val="000000"/>
          <w:sz w:val="16"/>
          <w:szCs w:val="16"/>
        </w:rPr>
        <w:t>6</w:t>
      </w:r>
      <w:r>
        <w:rPr>
          <w:rFonts w:ascii="Arial" w:eastAsia="Arial" w:hAnsi="Arial" w:cs="Arial"/>
          <w:i/>
          <w:color w:val="000000"/>
          <w:sz w:val="16"/>
          <w:szCs w:val="16"/>
        </w:rPr>
        <w:t xml:space="preserve"> </w:t>
      </w:r>
      <w:r w:rsidR="0003236B">
        <w:rPr>
          <w:rFonts w:ascii="Arial" w:eastAsia="Arial" w:hAnsi="Arial" w:cs="Arial"/>
          <w:i/>
          <w:color w:val="000000"/>
          <w:sz w:val="16"/>
          <w:szCs w:val="16"/>
        </w:rPr>
        <w:t>August</w:t>
      </w:r>
      <w:r>
        <w:rPr>
          <w:rFonts w:ascii="Arial" w:eastAsia="Arial" w:hAnsi="Arial" w:cs="Arial"/>
          <w:i/>
          <w:color w:val="000000"/>
          <w:sz w:val="16"/>
          <w:szCs w:val="16"/>
        </w:rPr>
        <w:t xml:space="preserve"> 2022</w:t>
      </w:r>
      <w:r w:rsidR="00C73FCD">
        <w:rPr>
          <w:rFonts w:ascii="Arial" w:eastAsia="Arial" w:hAnsi="Arial" w:cs="Arial"/>
          <w:i/>
          <w:sz w:val="16"/>
          <w:szCs w:val="16"/>
        </w:rPr>
        <w:t xml:space="preserve">, </w:t>
      </w:r>
      <w:r w:rsidR="0021151C">
        <w:rPr>
          <w:rFonts w:ascii="Arial" w:eastAsia="Arial" w:hAnsi="Arial" w:cs="Arial"/>
          <w:i/>
          <w:sz w:val="16"/>
          <w:szCs w:val="16"/>
        </w:rPr>
        <w:t>4</w:t>
      </w:r>
      <w:r>
        <w:rPr>
          <w:rFonts w:ascii="Arial" w:eastAsia="Arial" w:hAnsi="Arial" w:cs="Arial"/>
          <w:i/>
          <w:sz w:val="16"/>
          <w:szCs w:val="16"/>
        </w:rPr>
        <w:t>P</w:t>
      </w:r>
      <w:r>
        <w:rPr>
          <w:rFonts w:ascii="Arial" w:eastAsia="Arial" w:hAnsi="Arial" w:cs="Arial"/>
          <w:i/>
          <w:color w:val="000000"/>
          <w:sz w:val="16"/>
          <w:szCs w:val="16"/>
        </w:rPr>
        <w:t>M.</w:t>
      </w:r>
    </w:p>
    <w:p w14:paraId="60C70125" w14:textId="77777777" w:rsidR="0020529A" w:rsidRDefault="006F3BB4">
      <w:pPr>
        <w:pBdr>
          <w:top w:val="nil"/>
          <w:left w:val="nil"/>
          <w:bottom w:val="nil"/>
          <w:right w:val="nil"/>
          <w:between w:val="nil"/>
        </w:pBdr>
        <w:shd w:val="clear" w:color="auto" w:fill="FFFFFF"/>
        <w:spacing w:after="0" w:line="240" w:lineRule="auto"/>
        <w:jc w:val="right"/>
        <w:rPr>
          <w:rFonts w:ascii="Arial" w:eastAsia="Arial" w:hAnsi="Arial" w:cs="Arial"/>
          <w:color w:val="0070C0"/>
          <w:sz w:val="16"/>
          <w:szCs w:val="16"/>
        </w:rPr>
      </w:pPr>
      <w:r>
        <w:rPr>
          <w:rFonts w:ascii="Arial" w:eastAsia="Arial" w:hAnsi="Arial" w:cs="Arial"/>
          <w:i/>
          <w:color w:val="0070C0"/>
          <w:sz w:val="16"/>
          <w:szCs w:val="16"/>
        </w:rPr>
        <w:t xml:space="preserve">   Sources: DSWD-DRMB and DSWD-NRLMB</w:t>
      </w:r>
    </w:p>
    <w:p w14:paraId="4D83CD38" w14:textId="77777777" w:rsidR="0020529A" w:rsidRDefault="0020529A">
      <w:pPr>
        <w:spacing w:after="0" w:line="240" w:lineRule="auto"/>
        <w:rPr>
          <w:rFonts w:ascii="Arial" w:eastAsia="Arial" w:hAnsi="Arial" w:cs="Arial"/>
          <w:sz w:val="24"/>
          <w:szCs w:val="24"/>
        </w:rPr>
      </w:pPr>
    </w:p>
    <w:p w14:paraId="5464C2F2" w14:textId="77777777" w:rsidR="0020529A" w:rsidRDefault="006F3BB4">
      <w:pPr>
        <w:numPr>
          <w:ilvl w:val="1"/>
          <w:numId w:val="7"/>
        </w:numPr>
        <w:pBdr>
          <w:top w:val="nil"/>
          <w:left w:val="nil"/>
          <w:bottom w:val="nil"/>
          <w:right w:val="nil"/>
          <w:between w:val="nil"/>
        </w:pBdr>
        <w:spacing w:after="0" w:line="240" w:lineRule="auto"/>
        <w:ind w:left="1260" w:hanging="360"/>
        <w:rPr>
          <w:rFonts w:ascii="Arial" w:eastAsia="Arial" w:hAnsi="Arial" w:cs="Arial"/>
          <w:b/>
          <w:color w:val="000000"/>
          <w:sz w:val="24"/>
          <w:szCs w:val="24"/>
        </w:rPr>
      </w:pPr>
      <w:r>
        <w:rPr>
          <w:rFonts w:ascii="Arial" w:eastAsia="Arial" w:hAnsi="Arial" w:cs="Arial"/>
          <w:b/>
          <w:color w:val="000000"/>
          <w:sz w:val="24"/>
          <w:szCs w:val="24"/>
        </w:rPr>
        <w:t xml:space="preserve">Standby Funds </w:t>
      </w:r>
    </w:p>
    <w:p w14:paraId="3897A371" w14:textId="233DDB16" w:rsidR="0020529A" w:rsidRDefault="006F3BB4">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21151C">
        <w:rPr>
          <w:rFonts w:ascii="Arial" w:eastAsia="Arial" w:hAnsi="Arial" w:cs="Arial"/>
          <w:sz w:val="24"/>
          <w:szCs w:val="24"/>
        </w:rPr>
        <w:t>124</w:t>
      </w:r>
      <w:r w:rsidR="00B60E6E">
        <w:rPr>
          <w:rFonts w:ascii="Arial" w:eastAsia="Arial" w:hAnsi="Arial" w:cs="Arial"/>
          <w:sz w:val="24"/>
          <w:szCs w:val="24"/>
        </w:rPr>
        <w:t>.</w:t>
      </w:r>
      <w:r w:rsidR="0021151C">
        <w:rPr>
          <w:rFonts w:ascii="Arial" w:eastAsia="Arial" w:hAnsi="Arial" w:cs="Arial"/>
          <w:sz w:val="24"/>
          <w:szCs w:val="24"/>
        </w:rPr>
        <w:t>38</w:t>
      </w:r>
      <w:r>
        <w:rPr>
          <w:rFonts w:ascii="Arial" w:eastAsia="Arial" w:hAnsi="Arial" w:cs="Arial"/>
          <w:color w:val="000000"/>
          <w:sz w:val="24"/>
          <w:szCs w:val="24"/>
        </w:rPr>
        <w:t xml:space="preserve"> million Quick Response Fund (QRF) at the DSWD Central Office.</w:t>
      </w:r>
    </w:p>
    <w:p w14:paraId="2C66049D" w14:textId="77777777" w:rsidR="0020529A" w:rsidRDefault="006F3BB4">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 xml:space="preserve">₱10 million </w:t>
      </w:r>
      <w:r>
        <w:rPr>
          <w:rFonts w:ascii="Arial" w:eastAsia="Arial" w:hAnsi="Arial" w:cs="Arial"/>
          <w:color w:val="000000"/>
          <w:sz w:val="24"/>
          <w:szCs w:val="24"/>
          <w:highlight w:val="white"/>
        </w:rPr>
        <w:t>available at DSWD FOs VI and VII.</w:t>
      </w:r>
    </w:p>
    <w:p w14:paraId="0245DA01" w14:textId="0D0BC4B7" w:rsidR="0020529A" w:rsidRDefault="006F3BB4" w:rsidP="002C7B9D">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697100">
        <w:rPr>
          <w:rFonts w:ascii="Arial" w:eastAsia="Arial" w:hAnsi="Arial" w:cs="Arial"/>
          <w:color w:val="000000"/>
          <w:sz w:val="24"/>
          <w:szCs w:val="24"/>
        </w:rPr>
        <w:t>6</w:t>
      </w:r>
      <w:r w:rsidR="00AA4799">
        <w:rPr>
          <w:rFonts w:ascii="Arial" w:eastAsia="Arial" w:hAnsi="Arial" w:cs="Arial"/>
          <w:color w:val="000000"/>
          <w:sz w:val="24"/>
          <w:szCs w:val="24"/>
        </w:rPr>
        <w:t>4.28</w:t>
      </w:r>
      <w:r>
        <w:rPr>
          <w:rFonts w:ascii="Arial" w:eastAsia="Arial" w:hAnsi="Arial" w:cs="Arial"/>
          <w:color w:val="000000"/>
          <w:sz w:val="24"/>
          <w:szCs w:val="24"/>
        </w:rPr>
        <w:t xml:space="preserve"> million in other DSWD FOs which may support the relief needs through inter-FO augmentation.</w:t>
      </w:r>
    </w:p>
    <w:p w14:paraId="17865755" w14:textId="77777777" w:rsidR="0021151C" w:rsidRPr="002C7B9D" w:rsidRDefault="0021151C" w:rsidP="0021151C">
      <w:pPr>
        <w:pBdr>
          <w:top w:val="nil"/>
          <w:left w:val="nil"/>
          <w:bottom w:val="nil"/>
          <w:right w:val="nil"/>
          <w:between w:val="nil"/>
        </w:pBdr>
        <w:spacing w:after="0" w:line="240" w:lineRule="auto"/>
        <w:jc w:val="both"/>
        <w:rPr>
          <w:rFonts w:ascii="Arial" w:eastAsia="Arial" w:hAnsi="Arial" w:cs="Arial"/>
          <w:color w:val="000000"/>
          <w:sz w:val="24"/>
          <w:szCs w:val="24"/>
        </w:rPr>
      </w:pPr>
    </w:p>
    <w:p w14:paraId="4CC917D4" w14:textId="77777777" w:rsidR="0020529A" w:rsidRDefault="006F3BB4">
      <w:pPr>
        <w:numPr>
          <w:ilvl w:val="1"/>
          <w:numId w:val="7"/>
        </w:numPr>
        <w:pBdr>
          <w:top w:val="nil"/>
          <w:left w:val="nil"/>
          <w:bottom w:val="nil"/>
          <w:right w:val="nil"/>
          <w:between w:val="nil"/>
        </w:pBdr>
        <w:spacing w:after="0" w:line="240" w:lineRule="auto"/>
        <w:ind w:left="1260" w:hanging="36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59A3F416" w14:textId="5B4E38D6" w:rsidR="0020529A" w:rsidRPr="00BF3FB9" w:rsidRDefault="00BF3FB9" w:rsidP="00BF3FB9">
      <w:pPr>
        <w:numPr>
          <w:ilvl w:val="2"/>
          <w:numId w:val="10"/>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91,576 FFPs available in Disaster Response Centers; of which, 39,847</w:t>
      </w:r>
      <w:r w:rsidRPr="007E1751">
        <w:rPr>
          <w:rFonts w:ascii="Arial" w:eastAsia="Arial" w:hAnsi="Arial" w:cs="Arial"/>
          <w:color w:val="000000"/>
          <w:sz w:val="24"/>
          <w:szCs w:val="24"/>
        </w:rPr>
        <w:t xml:space="preserve"> </w:t>
      </w:r>
      <w:r>
        <w:rPr>
          <w:rFonts w:ascii="Arial" w:eastAsia="Arial" w:hAnsi="Arial" w:cs="Arial"/>
          <w:color w:val="000000"/>
          <w:sz w:val="24"/>
          <w:szCs w:val="24"/>
        </w:rPr>
        <w:t>FFPs are at the National Resource Operations Center (NROC), Pasay City and 51,729 FFPs are at the Visayas Disaster Resource Center (VDRC), Mandaue City.</w:t>
      </w:r>
    </w:p>
    <w:p w14:paraId="01D7D932" w14:textId="0FD8E404" w:rsidR="0020529A" w:rsidRDefault="0021151C">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50</w:t>
      </w:r>
      <w:r w:rsidR="00AA4799">
        <w:rPr>
          <w:rFonts w:ascii="Arial" w:eastAsia="Arial" w:hAnsi="Arial" w:cs="Arial"/>
          <w:color w:val="000000"/>
          <w:sz w:val="24"/>
          <w:szCs w:val="24"/>
        </w:rPr>
        <w:t>,</w:t>
      </w:r>
      <w:r>
        <w:rPr>
          <w:rFonts w:ascii="Arial" w:eastAsia="Arial" w:hAnsi="Arial" w:cs="Arial"/>
          <w:color w:val="000000"/>
          <w:sz w:val="24"/>
          <w:szCs w:val="24"/>
        </w:rPr>
        <w:t>432</w:t>
      </w:r>
      <w:r w:rsidR="006F3BB4">
        <w:rPr>
          <w:rFonts w:ascii="Arial" w:eastAsia="Arial" w:hAnsi="Arial" w:cs="Arial"/>
          <w:sz w:val="24"/>
          <w:szCs w:val="24"/>
        </w:rPr>
        <w:t xml:space="preserve"> </w:t>
      </w:r>
      <w:r w:rsidR="006F3BB4">
        <w:rPr>
          <w:rFonts w:ascii="Arial" w:eastAsia="Arial" w:hAnsi="Arial" w:cs="Arial"/>
          <w:color w:val="000000"/>
          <w:sz w:val="24"/>
          <w:szCs w:val="24"/>
        </w:rPr>
        <w:t>FFPs available at DSWD FOs VI and VII.</w:t>
      </w:r>
    </w:p>
    <w:p w14:paraId="50B4078A" w14:textId="650AAA47" w:rsidR="0020529A" w:rsidRDefault="009C3720" w:rsidP="004C32A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315,048</w:t>
      </w:r>
      <w:r w:rsidR="004C32A5" w:rsidRPr="004C32A5">
        <w:rPr>
          <w:rFonts w:ascii="Arial" w:eastAsia="Arial" w:hAnsi="Arial" w:cs="Arial"/>
          <w:color w:val="000000"/>
          <w:sz w:val="24"/>
          <w:szCs w:val="24"/>
        </w:rPr>
        <w:t xml:space="preserve"> </w:t>
      </w:r>
      <w:r w:rsidR="006F3BB4">
        <w:rPr>
          <w:rFonts w:ascii="Arial" w:eastAsia="Arial" w:hAnsi="Arial" w:cs="Arial"/>
          <w:color w:val="000000"/>
          <w:sz w:val="24"/>
          <w:szCs w:val="24"/>
        </w:rPr>
        <w:t>FFPs in other DSWD FOs which may support the relief needs through inter-FO augmentation.</w:t>
      </w:r>
    </w:p>
    <w:p w14:paraId="259211B4" w14:textId="47AC0A40" w:rsidR="0020529A" w:rsidRDefault="006F3BB4">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BF3FB9">
        <w:rPr>
          <w:rFonts w:ascii="Arial" w:eastAsia="Arial" w:hAnsi="Arial" w:cs="Arial"/>
          <w:sz w:val="24"/>
          <w:szCs w:val="24"/>
        </w:rPr>
        <w:t>680.98</w:t>
      </w:r>
      <w:r w:rsidR="002C7B9D">
        <w:rPr>
          <w:rFonts w:ascii="Arial" w:eastAsia="Arial" w:hAnsi="Arial" w:cs="Arial"/>
          <w:sz w:val="24"/>
          <w:szCs w:val="24"/>
        </w:rPr>
        <w:t xml:space="preserve"> </w:t>
      </w:r>
      <w:r>
        <w:rPr>
          <w:rFonts w:ascii="Arial" w:eastAsia="Arial" w:hAnsi="Arial" w:cs="Arial"/>
          <w:color w:val="000000"/>
          <w:sz w:val="24"/>
          <w:szCs w:val="24"/>
        </w:rPr>
        <w:t>million worth of other FNIs at NROC, VDRC, and DSWD FO warehouses.</w:t>
      </w:r>
    </w:p>
    <w:p w14:paraId="6FBDE554" w14:textId="77777777" w:rsidR="0020529A" w:rsidRDefault="0020529A">
      <w:pPr>
        <w:pBdr>
          <w:top w:val="nil"/>
          <w:left w:val="nil"/>
          <w:bottom w:val="nil"/>
          <w:right w:val="nil"/>
          <w:between w:val="nil"/>
        </w:pBdr>
        <w:spacing w:after="0" w:line="240" w:lineRule="auto"/>
        <w:ind w:left="1620"/>
        <w:jc w:val="both"/>
        <w:rPr>
          <w:rFonts w:ascii="Arial" w:eastAsia="Arial" w:hAnsi="Arial" w:cs="Arial"/>
          <w:color w:val="000000"/>
          <w:sz w:val="24"/>
          <w:szCs w:val="24"/>
        </w:rPr>
      </w:pPr>
    </w:p>
    <w:p w14:paraId="6313B788" w14:textId="77777777" w:rsidR="0020529A" w:rsidRDefault="006F3BB4">
      <w:pPr>
        <w:numPr>
          <w:ilvl w:val="4"/>
          <w:numId w:val="5"/>
        </w:numPr>
        <w:pBdr>
          <w:top w:val="nil"/>
          <w:left w:val="nil"/>
          <w:bottom w:val="nil"/>
          <w:right w:val="nil"/>
          <w:between w:val="nil"/>
        </w:pBdr>
        <w:spacing w:after="0" w:line="240" w:lineRule="auto"/>
        <w:ind w:left="851" w:hanging="284"/>
        <w:jc w:val="both"/>
        <w:rPr>
          <w:rFonts w:ascii="Arial" w:eastAsia="Arial" w:hAnsi="Arial" w:cs="Arial"/>
          <w:b/>
          <w:color w:val="000000"/>
          <w:sz w:val="24"/>
          <w:szCs w:val="24"/>
        </w:rPr>
      </w:pPr>
      <w:r>
        <w:rPr>
          <w:rFonts w:ascii="Arial" w:eastAsia="Arial" w:hAnsi="Arial" w:cs="Arial"/>
          <w:b/>
          <w:color w:val="000000"/>
          <w:sz w:val="24"/>
          <w:szCs w:val="24"/>
        </w:rPr>
        <w:t>Other Activities</w:t>
      </w:r>
    </w:p>
    <w:p w14:paraId="0674CB87" w14:textId="77777777" w:rsidR="0020529A" w:rsidRDefault="0020529A">
      <w:pPr>
        <w:spacing w:after="0" w:line="240" w:lineRule="auto"/>
        <w:ind w:left="900"/>
        <w:jc w:val="both"/>
        <w:rPr>
          <w:rFonts w:ascii="Arial" w:eastAsia="Arial" w:hAnsi="Arial" w:cs="Arial"/>
          <w:b/>
          <w:color w:val="000000"/>
          <w:sz w:val="24"/>
          <w:szCs w:val="24"/>
        </w:rPr>
      </w:pPr>
    </w:p>
    <w:p w14:paraId="49B0BBD4" w14:textId="77777777" w:rsidR="0020529A" w:rsidRDefault="006F3BB4">
      <w:pPr>
        <w:spacing w:after="0" w:line="240" w:lineRule="auto"/>
        <w:ind w:left="900"/>
        <w:rPr>
          <w:rFonts w:ascii="Arial" w:eastAsia="Arial" w:hAnsi="Arial" w:cs="Arial"/>
          <w:sz w:val="24"/>
          <w:szCs w:val="24"/>
        </w:rPr>
      </w:pPr>
      <w:r>
        <w:rPr>
          <w:rFonts w:ascii="Arial" w:eastAsia="Arial" w:hAnsi="Arial" w:cs="Arial"/>
          <w:b/>
          <w:sz w:val="24"/>
          <w:szCs w:val="24"/>
        </w:rPr>
        <w:t>DSWD-DRMB</w:t>
      </w:r>
    </w:p>
    <w:tbl>
      <w:tblPr>
        <w:tblStyle w:val="afffc"/>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4"/>
        <w:gridCol w:w="6965"/>
      </w:tblGrid>
      <w:tr w:rsidR="0020529A" w14:paraId="04BF5DEE" w14:textId="77777777">
        <w:trPr>
          <w:trHeight w:val="20"/>
          <w:tblHeader/>
        </w:trPr>
        <w:tc>
          <w:tcPr>
            <w:tcW w:w="194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1C22A04A"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9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776BFC6A"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0529A" w14:paraId="4F44D867" w14:textId="77777777" w:rsidTr="0034579A">
        <w:trPr>
          <w:trHeight w:val="20"/>
        </w:trPr>
        <w:tc>
          <w:tcPr>
            <w:tcW w:w="194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7E78C8D4" w14:textId="15B3C8DE" w:rsidR="0020529A" w:rsidRDefault="0089748D" w:rsidP="0034579A">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w:t>
            </w:r>
            <w:r w:rsidR="00607173">
              <w:rPr>
                <w:rFonts w:ascii="Arial" w:eastAsia="Arial" w:hAnsi="Arial" w:cs="Arial"/>
                <w:sz w:val="20"/>
                <w:szCs w:val="20"/>
              </w:rPr>
              <w:t>7</w:t>
            </w:r>
            <w:r>
              <w:rPr>
                <w:rFonts w:ascii="Arial" w:eastAsia="Arial" w:hAnsi="Arial" w:cs="Arial"/>
                <w:sz w:val="20"/>
                <w:szCs w:val="20"/>
              </w:rPr>
              <w:t xml:space="preserve"> August </w:t>
            </w:r>
            <w:r w:rsidR="006F3BB4">
              <w:rPr>
                <w:rFonts w:ascii="Arial" w:eastAsia="Arial" w:hAnsi="Arial" w:cs="Arial"/>
                <w:sz w:val="20"/>
                <w:szCs w:val="20"/>
              </w:rPr>
              <w:t>2022</w:t>
            </w:r>
          </w:p>
        </w:tc>
        <w:tc>
          <w:tcPr>
            <w:tcW w:w="69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7ABD67D2" w14:textId="53FAA99E" w:rsidR="0020529A" w:rsidRDefault="006F3BB4" w:rsidP="00C03BF1">
            <w:pPr>
              <w:numPr>
                <w:ilvl w:val="0"/>
                <w:numId w:val="2"/>
              </w:numPr>
              <w:pBdr>
                <w:top w:val="none" w:sz="0" w:space="0" w:color="000000"/>
                <w:left w:val="none" w:sz="0" w:space="0" w:color="000000"/>
                <w:bottom w:val="none" w:sz="0" w:space="0" w:color="000000"/>
                <w:right w:val="none" w:sz="0" w:space="0" w:color="000000"/>
                <w:between w:val="none" w:sz="0" w:space="0" w:color="000000"/>
              </w:pBdr>
              <w:ind w:left="366"/>
              <w:jc w:val="both"/>
              <w:rPr>
                <w:rFonts w:ascii="Arial" w:eastAsia="Arial" w:hAnsi="Arial" w:cs="Arial"/>
                <w:color w:val="000000"/>
                <w:sz w:val="20"/>
                <w:szCs w:val="20"/>
              </w:rPr>
            </w:pPr>
            <w:r>
              <w:rPr>
                <w:rFonts w:ascii="Arial" w:eastAsia="Arial" w:hAnsi="Arial" w:cs="Arial"/>
                <w:color w:val="000000"/>
                <w:sz w:val="20"/>
                <w:szCs w:val="20"/>
              </w:rPr>
              <w:t xml:space="preserve">The Disaster Response Operations Monitoring and Information Center (DROMIC) of the DSWD-DRMB </w:t>
            </w:r>
            <w:r w:rsidR="00C03BF1">
              <w:rPr>
                <w:rFonts w:ascii="Arial" w:eastAsia="Arial" w:hAnsi="Arial" w:cs="Arial"/>
                <w:color w:val="000000"/>
                <w:sz w:val="20"/>
                <w:szCs w:val="20"/>
              </w:rPr>
              <w:t>monitors and closely coordinates</w:t>
            </w:r>
            <w:r>
              <w:rPr>
                <w:rFonts w:ascii="Arial" w:eastAsia="Arial" w:hAnsi="Arial" w:cs="Arial"/>
                <w:color w:val="000000"/>
                <w:sz w:val="20"/>
                <w:szCs w:val="20"/>
              </w:rPr>
              <w:t xml:space="preserve"> with concerned DSWD Field Offices for significant updates on preparedness measures and actions taken.</w:t>
            </w:r>
          </w:p>
        </w:tc>
      </w:tr>
    </w:tbl>
    <w:p w14:paraId="1F2EBDAA" w14:textId="77777777" w:rsidR="0020529A" w:rsidRDefault="0020529A">
      <w:pPr>
        <w:widowControl w:val="0"/>
        <w:spacing w:after="0" w:line="240" w:lineRule="auto"/>
        <w:rPr>
          <w:rFonts w:ascii="Arial" w:eastAsia="Arial" w:hAnsi="Arial" w:cs="Arial"/>
          <w:b/>
          <w:sz w:val="24"/>
          <w:szCs w:val="24"/>
        </w:rPr>
      </w:pPr>
    </w:p>
    <w:p w14:paraId="5F2ED8DB" w14:textId="77777777" w:rsidR="0020529A" w:rsidRDefault="006F3BB4">
      <w:pPr>
        <w:widowControl w:val="0"/>
        <w:spacing w:after="0" w:line="240" w:lineRule="auto"/>
        <w:ind w:left="900"/>
        <w:rPr>
          <w:rFonts w:ascii="Arial" w:eastAsia="Arial" w:hAnsi="Arial" w:cs="Arial"/>
          <w:b/>
          <w:sz w:val="24"/>
          <w:szCs w:val="24"/>
        </w:rPr>
      </w:pPr>
      <w:r>
        <w:rPr>
          <w:rFonts w:ascii="Arial" w:eastAsia="Arial" w:hAnsi="Arial" w:cs="Arial"/>
          <w:b/>
          <w:sz w:val="24"/>
          <w:szCs w:val="24"/>
        </w:rPr>
        <w:t xml:space="preserve">DSWD FO VI </w:t>
      </w:r>
    </w:p>
    <w:tbl>
      <w:tblPr>
        <w:tblStyle w:val="afffd"/>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12"/>
        <w:gridCol w:w="6997"/>
      </w:tblGrid>
      <w:tr w:rsidR="0020529A" w14:paraId="205941DF" w14:textId="77777777">
        <w:trPr>
          <w:trHeight w:val="274"/>
        </w:trPr>
        <w:tc>
          <w:tcPr>
            <w:tcW w:w="1912" w:type="dxa"/>
            <w:tcMar>
              <w:top w:w="0" w:type="dxa"/>
              <w:left w:w="58" w:type="dxa"/>
              <w:bottom w:w="0" w:type="dxa"/>
              <w:right w:w="58" w:type="dxa"/>
            </w:tcMar>
          </w:tcPr>
          <w:p w14:paraId="234228F2" w14:textId="77777777" w:rsidR="0020529A" w:rsidRDefault="006F3BB4">
            <w:pPr>
              <w:jc w:val="center"/>
              <w:rPr>
                <w:rFonts w:ascii="Arial" w:eastAsia="Arial" w:hAnsi="Arial" w:cs="Arial"/>
                <w:b/>
                <w:sz w:val="20"/>
                <w:szCs w:val="20"/>
              </w:rPr>
            </w:pPr>
            <w:r>
              <w:rPr>
                <w:rFonts w:ascii="Arial" w:eastAsia="Arial" w:hAnsi="Arial" w:cs="Arial"/>
                <w:b/>
                <w:sz w:val="20"/>
                <w:szCs w:val="20"/>
              </w:rPr>
              <w:t>DATE</w:t>
            </w:r>
          </w:p>
        </w:tc>
        <w:tc>
          <w:tcPr>
            <w:tcW w:w="6997" w:type="dxa"/>
            <w:tcMar>
              <w:top w:w="0" w:type="dxa"/>
              <w:left w:w="58" w:type="dxa"/>
              <w:bottom w:w="0" w:type="dxa"/>
              <w:right w:w="58" w:type="dxa"/>
            </w:tcMar>
          </w:tcPr>
          <w:p w14:paraId="3C298828" w14:textId="77777777" w:rsidR="0020529A" w:rsidRDefault="006F3BB4">
            <w:pPr>
              <w:jc w:val="center"/>
              <w:rPr>
                <w:rFonts w:ascii="Arial" w:eastAsia="Arial" w:hAnsi="Arial" w:cs="Arial"/>
                <w:b/>
                <w:sz w:val="20"/>
                <w:szCs w:val="20"/>
              </w:rPr>
            </w:pPr>
            <w:r>
              <w:rPr>
                <w:rFonts w:ascii="Arial" w:eastAsia="Arial" w:hAnsi="Arial" w:cs="Arial"/>
                <w:b/>
                <w:sz w:val="20"/>
                <w:szCs w:val="20"/>
              </w:rPr>
              <w:t>SITUATIONS / ACTIONS UNDERTAKEN</w:t>
            </w:r>
          </w:p>
        </w:tc>
      </w:tr>
      <w:tr w:rsidR="0020529A" w14:paraId="1A08E8A4" w14:textId="77777777">
        <w:trPr>
          <w:trHeight w:val="555"/>
        </w:trPr>
        <w:tc>
          <w:tcPr>
            <w:tcW w:w="1912" w:type="dxa"/>
            <w:tcMar>
              <w:top w:w="0" w:type="dxa"/>
              <w:left w:w="58" w:type="dxa"/>
              <w:bottom w:w="0" w:type="dxa"/>
              <w:right w:w="58" w:type="dxa"/>
            </w:tcMar>
          </w:tcPr>
          <w:p w14:paraId="1B40CB99"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03 July 2022</w:t>
            </w:r>
          </w:p>
        </w:tc>
        <w:tc>
          <w:tcPr>
            <w:tcW w:w="6997" w:type="dxa"/>
            <w:tcMar>
              <w:top w:w="0" w:type="dxa"/>
              <w:left w:w="58" w:type="dxa"/>
              <w:bottom w:w="0" w:type="dxa"/>
              <w:right w:w="58" w:type="dxa"/>
            </w:tcMar>
          </w:tcPr>
          <w:p w14:paraId="1FCF8047" w14:textId="77777777" w:rsidR="0020529A" w:rsidRDefault="006F3BB4">
            <w:pPr>
              <w:numPr>
                <w:ilvl w:val="0"/>
                <w:numId w:val="2"/>
              </w:numPr>
              <w:pBdr>
                <w:top w:val="nil"/>
                <w:left w:val="nil"/>
                <w:bottom w:val="nil"/>
                <w:right w:val="nil"/>
                <w:between w:val="nil"/>
              </w:pBdr>
              <w:ind w:left="372"/>
              <w:jc w:val="both"/>
              <w:rPr>
                <w:rFonts w:ascii="Arial" w:eastAsia="Arial" w:hAnsi="Arial" w:cs="Arial"/>
                <w:color w:val="000000"/>
                <w:sz w:val="20"/>
                <w:szCs w:val="20"/>
              </w:rPr>
            </w:pPr>
            <w:bookmarkStart w:id="3" w:name="bookmark=id.1fob9te" w:colFirst="0" w:colLast="0"/>
            <w:bookmarkStart w:id="4" w:name="bookmark=id.3znysh7" w:colFirst="0" w:colLast="0"/>
            <w:bookmarkEnd w:id="3"/>
            <w:bookmarkEnd w:id="4"/>
            <w:r>
              <w:rPr>
                <w:rFonts w:ascii="Arial" w:eastAsia="Arial" w:hAnsi="Arial" w:cs="Arial"/>
                <w:color w:val="000000"/>
                <w:sz w:val="20"/>
                <w:szCs w:val="20"/>
              </w:rPr>
              <w:t>DSWD FO VI coordinated with the City Social Welfare and Development Office (CSWDO) of Himamaylan, Talisay and Bago City for additional prepositioning of goods.</w:t>
            </w:r>
          </w:p>
          <w:p w14:paraId="7678F982" w14:textId="77777777" w:rsidR="0020529A" w:rsidRDefault="006F3BB4">
            <w:pPr>
              <w:numPr>
                <w:ilvl w:val="0"/>
                <w:numId w:val="2"/>
              </w:numPr>
              <w:pBdr>
                <w:top w:val="nil"/>
                <w:left w:val="nil"/>
                <w:bottom w:val="nil"/>
                <w:right w:val="nil"/>
                <w:between w:val="nil"/>
              </w:pBdr>
              <w:ind w:left="372"/>
              <w:jc w:val="both"/>
              <w:rPr>
                <w:rFonts w:ascii="Arial" w:eastAsia="Arial" w:hAnsi="Arial" w:cs="Arial"/>
                <w:color w:val="000000"/>
                <w:sz w:val="20"/>
                <w:szCs w:val="20"/>
              </w:rPr>
            </w:pPr>
            <w:r>
              <w:rPr>
                <w:rFonts w:ascii="Arial" w:eastAsia="Arial" w:hAnsi="Arial" w:cs="Arial"/>
                <w:color w:val="000000"/>
                <w:sz w:val="20"/>
                <w:szCs w:val="20"/>
              </w:rPr>
              <w:t xml:space="preserve">DSWD FO VI closely monitored the situation through coordination with PHIVOLCs and concerned local government units (LGUs) for any reports on displacement of families and relief needs through the Quick Response Teams (QRTs) and Action Teams deployed at the local level. </w:t>
            </w:r>
          </w:p>
        </w:tc>
      </w:tr>
    </w:tbl>
    <w:p w14:paraId="62D18B28" w14:textId="77777777" w:rsidR="0020529A" w:rsidRDefault="0020529A">
      <w:pPr>
        <w:spacing w:after="0" w:line="240" w:lineRule="auto"/>
        <w:ind w:left="720" w:firstLine="273"/>
        <w:rPr>
          <w:rFonts w:ascii="Arial" w:eastAsia="Arial" w:hAnsi="Arial" w:cs="Arial"/>
          <w:b/>
          <w:sz w:val="24"/>
          <w:szCs w:val="24"/>
        </w:rPr>
      </w:pPr>
    </w:p>
    <w:p w14:paraId="1BD4647C" w14:textId="77777777" w:rsidR="0020529A" w:rsidRDefault="006F3BB4">
      <w:pPr>
        <w:spacing w:after="0" w:line="240" w:lineRule="auto"/>
        <w:ind w:left="720" w:firstLine="273"/>
        <w:rPr>
          <w:rFonts w:ascii="Arial" w:eastAsia="Arial" w:hAnsi="Arial" w:cs="Arial"/>
          <w:b/>
          <w:sz w:val="24"/>
          <w:szCs w:val="24"/>
        </w:rPr>
      </w:pPr>
      <w:r>
        <w:rPr>
          <w:rFonts w:ascii="Arial" w:eastAsia="Arial" w:hAnsi="Arial" w:cs="Arial"/>
          <w:b/>
          <w:sz w:val="24"/>
          <w:szCs w:val="24"/>
        </w:rPr>
        <w:t>DSWD FO VII</w:t>
      </w:r>
    </w:p>
    <w:tbl>
      <w:tblPr>
        <w:tblStyle w:val="afffe"/>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12"/>
        <w:gridCol w:w="6997"/>
      </w:tblGrid>
      <w:tr w:rsidR="0020529A" w14:paraId="7E0CFBF0" w14:textId="77777777">
        <w:trPr>
          <w:trHeight w:val="274"/>
          <w:tblHeader/>
        </w:trPr>
        <w:tc>
          <w:tcPr>
            <w:tcW w:w="1912" w:type="dxa"/>
            <w:tcMar>
              <w:top w:w="0" w:type="dxa"/>
              <w:left w:w="58" w:type="dxa"/>
              <w:bottom w:w="0" w:type="dxa"/>
              <w:right w:w="58" w:type="dxa"/>
            </w:tcMar>
          </w:tcPr>
          <w:p w14:paraId="3E1FB28D" w14:textId="77777777" w:rsidR="0020529A" w:rsidRDefault="006F3BB4">
            <w:pPr>
              <w:jc w:val="center"/>
              <w:rPr>
                <w:rFonts w:ascii="Arial" w:eastAsia="Arial" w:hAnsi="Arial" w:cs="Arial"/>
                <w:b/>
                <w:sz w:val="20"/>
                <w:szCs w:val="20"/>
              </w:rPr>
            </w:pPr>
            <w:r>
              <w:rPr>
                <w:rFonts w:ascii="Arial" w:eastAsia="Arial" w:hAnsi="Arial" w:cs="Arial"/>
                <w:b/>
                <w:sz w:val="20"/>
                <w:szCs w:val="20"/>
              </w:rPr>
              <w:t>DATE</w:t>
            </w:r>
          </w:p>
        </w:tc>
        <w:tc>
          <w:tcPr>
            <w:tcW w:w="6997" w:type="dxa"/>
            <w:tcMar>
              <w:top w:w="0" w:type="dxa"/>
              <w:left w:w="58" w:type="dxa"/>
              <w:bottom w:w="0" w:type="dxa"/>
              <w:right w:w="58" w:type="dxa"/>
            </w:tcMar>
          </w:tcPr>
          <w:p w14:paraId="6111AC54" w14:textId="77777777" w:rsidR="0020529A" w:rsidRDefault="006F3BB4">
            <w:pPr>
              <w:jc w:val="center"/>
              <w:rPr>
                <w:rFonts w:ascii="Arial" w:eastAsia="Arial" w:hAnsi="Arial" w:cs="Arial"/>
                <w:b/>
                <w:sz w:val="20"/>
                <w:szCs w:val="20"/>
              </w:rPr>
            </w:pPr>
            <w:r>
              <w:rPr>
                <w:rFonts w:ascii="Arial" w:eastAsia="Arial" w:hAnsi="Arial" w:cs="Arial"/>
                <w:b/>
                <w:sz w:val="20"/>
                <w:szCs w:val="20"/>
              </w:rPr>
              <w:t>SITUATIONS / ACTIONS UNDERTAKEN</w:t>
            </w:r>
          </w:p>
        </w:tc>
      </w:tr>
      <w:tr w:rsidR="0020529A" w14:paraId="5884DBFF" w14:textId="77777777">
        <w:trPr>
          <w:trHeight w:val="555"/>
        </w:trPr>
        <w:tc>
          <w:tcPr>
            <w:tcW w:w="1912" w:type="dxa"/>
            <w:tcMar>
              <w:top w:w="0" w:type="dxa"/>
              <w:left w:w="58" w:type="dxa"/>
              <w:bottom w:w="0" w:type="dxa"/>
              <w:right w:w="58" w:type="dxa"/>
            </w:tcMar>
          </w:tcPr>
          <w:p w14:paraId="532A15D4"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12 July 2022</w:t>
            </w:r>
          </w:p>
        </w:tc>
        <w:tc>
          <w:tcPr>
            <w:tcW w:w="6997" w:type="dxa"/>
            <w:tcMar>
              <w:top w:w="0" w:type="dxa"/>
              <w:left w:w="58" w:type="dxa"/>
              <w:bottom w:w="0" w:type="dxa"/>
              <w:right w:w="58" w:type="dxa"/>
            </w:tcMar>
          </w:tcPr>
          <w:p w14:paraId="109458BC"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DSWD FO VII personnel facilitated the ongoing five (5)-day Camp Coordination and Camp Management (CCCM) and Internally Displaced Persons (IDP) Training to 33 participants from the Local Social Welfare and Development Office (LSWDO), Local Disaster Risk Reduction and Management Office (LDRRMO), Department of Education (DepEd) and Philippine National Police (PNP) in Canlaon City, Negros Oriental on 11 July 2022.</w:t>
            </w:r>
          </w:p>
          <w:p w14:paraId="261CDB4C"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ensures continuous inspection and assessment of possible storage facilities for the prepositioning of Food and Non-Food Items (FNFIs) in the LGUs of Canlaon City, Vallehermoso, La Libertad, Guihulngan City and Jimalalud, Negros Oriental. </w:t>
            </w:r>
          </w:p>
          <w:p w14:paraId="3C15B286"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is currently finalizing the Memorandum of Agreement (MOA) for the prepositioning of FNFIs to Canlaon City. On-going coordination, discussion and consultation meetings with the DSWD Legal Team are being conducted. </w:t>
            </w:r>
          </w:p>
          <w:p w14:paraId="276E9633"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At least 5,000 FFPs, hygiene kits, and family kits will be prepositioned in Canlaon City as initial preparations.</w:t>
            </w:r>
          </w:p>
        </w:tc>
      </w:tr>
      <w:tr w:rsidR="0020529A" w14:paraId="41C799E8" w14:textId="77777777">
        <w:trPr>
          <w:trHeight w:val="555"/>
        </w:trPr>
        <w:tc>
          <w:tcPr>
            <w:tcW w:w="1912" w:type="dxa"/>
            <w:tcMar>
              <w:top w:w="0" w:type="dxa"/>
              <w:left w:w="58" w:type="dxa"/>
              <w:bottom w:w="0" w:type="dxa"/>
              <w:right w:w="58" w:type="dxa"/>
            </w:tcMar>
          </w:tcPr>
          <w:p w14:paraId="7BF8ABB0"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08 July 2022</w:t>
            </w:r>
          </w:p>
        </w:tc>
        <w:tc>
          <w:tcPr>
            <w:tcW w:w="6997" w:type="dxa"/>
            <w:tcMar>
              <w:top w:w="0" w:type="dxa"/>
              <w:left w:w="58" w:type="dxa"/>
              <w:bottom w:w="0" w:type="dxa"/>
              <w:right w:w="58" w:type="dxa"/>
            </w:tcMar>
          </w:tcPr>
          <w:p w14:paraId="0DDF67EA" w14:textId="77777777" w:rsidR="0020529A" w:rsidRDefault="006F3BB4">
            <w:pPr>
              <w:numPr>
                <w:ilvl w:val="0"/>
                <w:numId w:val="6"/>
              </w:numPr>
              <w:ind w:left="360"/>
              <w:jc w:val="both"/>
              <w:rPr>
                <w:rFonts w:ascii="Arial" w:eastAsia="Arial" w:hAnsi="Arial" w:cs="Arial"/>
                <w:sz w:val="20"/>
                <w:szCs w:val="20"/>
              </w:rPr>
            </w:pPr>
            <w:bookmarkStart w:id="5" w:name="_heading=h.30j0zll" w:colFirst="0" w:colLast="0"/>
            <w:bookmarkEnd w:id="5"/>
            <w:r>
              <w:rPr>
                <w:rFonts w:ascii="Arial" w:eastAsia="Arial" w:hAnsi="Arial" w:cs="Arial"/>
                <w:sz w:val="20"/>
                <w:szCs w:val="20"/>
              </w:rPr>
              <w:t>DSWD FO VII coordinated with the LDRRMO and LSWDO of Canlaon City. The NRLMB VDRC committed to provide technical assistance to Canlaon City in the assessment of identified warehouses and storage facilities, and in the identification of other facilities as option for secondary storage.</w:t>
            </w:r>
          </w:p>
          <w:p w14:paraId="4EA241EA"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DSWD FO VII and concerned stakeholders reviewed the provisions and roles of each party in the Memorandum of Agreement (MOA) relative to the prepositioning of FFPs, and the LGU of Canlaon City has to enter into a MOA with DSWD prior to the delivery of the projected 5,000 FFPs as prepositioned relief goods in the area.</w:t>
            </w:r>
          </w:p>
        </w:tc>
      </w:tr>
      <w:tr w:rsidR="0020529A" w14:paraId="18ED45CA" w14:textId="77777777">
        <w:trPr>
          <w:trHeight w:val="555"/>
        </w:trPr>
        <w:tc>
          <w:tcPr>
            <w:tcW w:w="1912" w:type="dxa"/>
            <w:tcMar>
              <w:top w:w="0" w:type="dxa"/>
              <w:left w:w="58" w:type="dxa"/>
              <w:bottom w:w="0" w:type="dxa"/>
              <w:right w:w="58" w:type="dxa"/>
            </w:tcMar>
          </w:tcPr>
          <w:p w14:paraId="21682257"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07 July 2022</w:t>
            </w:r>
          </w:p>
        </w:tc>
        <w:tc>
          <w:tcPr>
            <w:tcW w:w="6997" w:type="dxa"/>
            <w:tcMar>
              <w:top w:w="0" w:type="dxa"/>
              <w:left w:w="58" w:type="dxa"/>
              <w:bottom w:w="0" w:type="dxa"/>
              <w:right w:w="58" w:type="dxa"/>
            </w:tcMar>
          </w:tcPr>
          <w:p w14:paraId="32FA1AE7"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The LDRRM Operations Center continuously monitored the behavior and activities of the Kanlaon Volcano.</w:t>
            </w:r>
          </w:p>
          <w:p w14:paraId="3FE6EBB5"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The LDRRMO of Canlaon City conducted assessment in the barangays of Pula and Masulog. The team visited the Sitios located at the foot of the volcano where five (5) manifestations of felt earthquakes were recorded.</w:t>
            </w:r>
          </w:p>
        </w:tc>
      </w:tr>
      <w:tr w:rsidR="0020529A" w14:paraId="297C13AD" w14:textId="77777777">
        <w:trPr>
          <w:trHeight w:val="555"/>
        </w:trPr>
        <w:tc>
          <w:tcPr>
            <w:tcW w:w="1912" w:type="dxa"/>
            <w:tcMar>
              <w:top w:w="0" w:type="dxa"/>
              <w:left w:w="58" w:type="dxa"/>
              <w:bottom w:w="0" w:type="dxa"/>
              <w:right w:w="58" w:type="dxa"/>
            </w:tcMar>
          </w:tcPr>
          <w:p w14:paraId="619B115A"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06 July 2022</w:t>
            </w:r>
          </w:p>
        </w:tc>
        <w:tc>
          <w:tcPr>
            <w:tcW w:w="6997" w:type="dxa"/>
            <w:tcMar>
              <w:top w:w="0" w:type="dxa"/>
              <w:left w:w="58" w:type="dxa"/>
              <w:bottom w:w="0" w:type="dxa"/>
              <w:right w:w="58" w:type="dxa"/>
            </w:tcMar>
          </w:tcPr>
          <w:p w14:paraId="14F581AA"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DSWD FO VII convened a meeting with the member agencies of the Regional Disaster Risk Reduction and Management Council (RDRRMC)-7 Response Cluster at the Office of Civil Defense (OCD) VII in Lapu-Lapu City, Cebu to discuss the Contingency Plan for the Kanlaon Volcano seismic activity in line with the disaster preparedness of the RDRRMC-7.</w:t>
            </w:r>
          </w:p>
        </w:tc>
      </w:tr>
      <w:tr w:rsidR="0020529A" w14:paraId="36A63B70" w14:textId="77777777">
        <w:trPr>
          <w:trHeight w:val="555"/>
        </w:trPr>
        <w:tc>
          <w:tcPr>
            <w:tcW w:w="1912" w:type="dxa"/>
            <w:tcMar>
              <w:top w:w="0" w:type="dxa"/>
              <w:left w:w="58" w:type="dxa"/>
              <w:bottom w:w="0" w:type="dxa"/>
              <w:right w:w="58" w:type="dxa"/>
            </w:tcMar>
          </w:tcPr>
          <w:p w14:paraId="180BA12D"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05 July 2022</w:t>
            </w:r>
          </w:p>
        </w:tc>
        <w:tc>
          <w:tcPr>
            <w:tcW w:w="6997" w:type="dxa"/>
            <w:tcMar>
              <w:top w:w="0" w:type="dxa"/>
              <w:left w:w="58" w:type="dxa"/>
              <w:bottom w:w="0" w:type="dxa"/>
              <w:right w:w="58" w:type="dxa"/>
            </w:tcMar>
          </w:tcPr>
          <w:p w14:paraId="11330036"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DSWD FO VII coordinated with the Local Disaster Risk Reduction and Management (LDRRM) Officer of Canlaon City. There was no significant rumbling or explosion in the area and unusual behavior observed on Mt. Kanlaon other than the earthquakes recorded by DOST-PHIVOLCS.</w:t>
            </w:r>
          </w:p>
          <w:p w14:paraId="6C9BC851"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DSWD FO VII through its Disaster Response Management Division conducted a meeting together with the Social Welfare and Development (SWAD) Team and warehouse personnel in Negros Oriental for the crafting of the Pre-Disaster and Preparedness Implementation Plan.</w:t>
            </w:r>
          </w:p>
          <w:p w14:paraId="2F60CE2D"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The Regional Resource Operations Section (RROS) of DSWD FO VII would deploy its Provincial Warehouse Manager to Canlaon City to discuss preparations, check/inspect storage areas for the planned prepositioning of FNIs as well as check on evacuation camps’ capacity for the deployment of tents. He would also be visiting the adjacent Municipality of Vallehermoso for the same purpose.</w:t>
            </w:r>
          </w:p>
          <w:p w14:paraId="2FD26CD7"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DSWD FO VII would attend the Disaster Response Cluster meeting organized by the Office of Civil Defense (OCD) VII to discuss the Central Visayas Contingency Plan for Mt. Kanlaon.</w:t>
            </w:r>
          </w:p>
        </w:tc>
      </w:tr>
      <w:tr w:rsidR="0020529A" w14:paraId="3C266F3E" w14:textId="77777777">
        <w:trPr>
          <w:trHeight w:val="555"/>
        </w:trPr>
        <w:tc>
          <w:tcPr>
            <w:tcW w:w="1912" w:type="dxa"/>
            <w:tcMar>
              <w:top w:w="0" w:type="dxa"/>
              <w:left w:w="58" w:type="dxa"/>
              <w:bottom w:w="0" w:type="dxa"/>
              <w:right w:w="58" w:type="dxa"/>
            </w:tcMar>
          </w:tcPr>
          <w:p w14:paraId="22430E88"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03 July 2022</w:t>
            </w:r>
          </w:p>
        </w:tc>
        <w:tc>
          <w:tcPr>
            <w:tcW w:w="6997" w:type="dxa"/>
            <w:tcMar>
              <w:top w:w="0" w:type="dxa"/>
              <w:left w:w="58" w:type="dxa"/>
              <w:bottom w:w="0" w:type="dxa"/>
              <w:right w:w="58" w:type="dxa"/>
            </w:tcMar>
          </w:tcPr>
          <w:p w14:paraId="01913EE4" w14:textId="77777777" w:rsidR="0020529A" w:rsidRDefault="006F3BB4">
            <w:pPr>
              <w:numPr>
                <w:ilvl w:val="0"/>
                <w:numId w:val="3"/>
              </w:numPr>
              <w:pBdr>
                <w:top w:val="nil"/>
                <w:left w:val="nil"/>
                <w:bottom w:val="nil"/>
                <w:right w:val="nil"/>
                <w:between w:val="nil"/>
              </w:pBdr>
              <w:ind w:left="372"/>
              <w:jc w:val="both"/>
              <w:rPr>
                <w:rFonts w:ascii="Arial" w:eastAsia="Arial" w:hAnsi="Arial" w:cs="Arial"/>
                <w:color w:val="000000"/>
                <w:sz w:val="20"/>
                <w:szCs w:val="20"/>
              </w:rPr>
            </w:pPr>
            <w:r>
              <w:rPr>
                <w:rFonts w:ascii="Arial" w:eastAsia="Arial" w:hAnsi="Arial" w:cs="Arial"/>
                <w:color w:val="000000"/>
                <w:sz w:val="20"/>
                <w:szCs w:val="20"/>
              </w:rPr>
              <w:t xml:space="preserve">DSWD FO VII closely monitored the situation through coordination with PHIVOLCS and concerned Local Disaster Risk Reduction and Management Councils (LDRRMCs) for any reports on displacement of families and relief needs through the QRTs and Negros Oriental Provincial and Canlaon City Action Teams. </w:t>
            </w:r>
          </w:p>
        </w:tc>
      </w:tr>
    </w:tbl>
    <w:p w14:paraId="29868321" w14:textId="77777777" w:rsidR="0020529A" w:rsidRDefault="0020529A">
      <w:pPr>
        <w:spacing w:after="0" w:line="240" w:lineRule="auto"/>
        <w:jc w:val="both"/>
        <w:rPr>
          <w:rFonts w:ascii="Arial" w:eastAsia="Arial" w:hAnsi="Arial" w:cs="Arial"/>
          <w:sz w:val="24"/>
          <w:szCs w:val="24"/>
        </w:rPr>
      </w:pPr>
    </w:p>
    <w:p w14:paraId="2861539E" w14:textId="77777777" w:rsidR="0020529A" w:rsidRDefault="006F3BB4">
      <w:pPr>
        <w:spacing w:after="0" w:line="240" w:lineRule="auto"/>
        <w:jc w:val="center"/>
        <w:rPr>
          <w:rFonts w:ascii="Arial" w:eastAsia="Arial" w:hAnsi="Arial" w:cs="Arial"/>
          <w:i/>
          <w:sz w:val="20"/>
          <w:szCs w:val="20"/>
        </w:rPr>
      </w:pPr>
      <w:r>
        <w:rPr>
          <w:rFonts w:ascii="Arial" w:eastAsia="Arial" w:hAnsi="Arial" w:cs="Arial"/>
          <w:i/>
          <w:sz w:val="20"/>
          <w:szCs w:val="20"/>
        </w:rPr>
        <w:t>*****</w:t>
      </w:r>
    </w:p>
    <w:p w14:paraId="38D1AAF1" w14:textId="77777777" w:rsidR="0020529A" w:rsidRDefault="006F3BB4">
      <w:pPr>
        <w:spacing w:after="0" w:line="240" w:lineRule="auto"/>
        <w:jc w:val="both"/>
        <w:rPr>
          <w:rFonts w:ascii="Arial" w:eastAsia="Arial" w:hAnsi="Arial" w:cs="Arial"/>
          <w:i/>
          <w:color w:val="222222"/>
          <w:sz w:val="20"/>
          <w:szCs w:val="20"/>
        </w:rPr>
      </w:pPr>
      <w:r>
        <w:rPr>
          <w:rFonts w:ascii="Arial" w:eastAsia="Arial" w:hAnsi="Arial" w:cs="Arial"/>
          <w:i/>
          <w:color w:val="222222"/>
          <w:sz w:val="20"/>
          <w:szCs w:val="20"/>
          <w:highlight w:val="white"/>
        </w:rPr>
        <w:t>The Disaster Response Operations Monitoring and Information Center (DROMIC) of DSWD-DRMB is closely coordinating with DSWD FOs VI and VII for significant preparedness for response updates and technical assistance needed.</w:t>
      </w:r>
    </w:p>
    <w:p w14:paraId="5E97B185" w14:textId="77777777" w:rsidR="0020529A" w:rsidRDefault="0020529A">
      <w:pPr>
        <w:spacing w:after="0" w:line="240" w:lineRule="auto"/>
        <w:jc w:val="both"/>
        <w:rPr>
          <w:rFonts w:ascii="Arial" w:eastAsia="Arial" w:hAnsi="Arial" w:cs="Arial"/>
          <w:i/>
          <w:color w:val="222222"/>
          <w:sz w:val="20"/>
          <w:szCs w:val="20"/>
        </w:rPr>
      </w:pPr>
    </w:p>
    <w:tbl>
      <w:tblPr>
        <w:tblStyle w:val="affff"/>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0"/>
        <w:gridCol w:w="4110"/>
      </w:tblGrid>
      <w:tr w:rsidR="0020529A" w14:paraId="5B2D318D" w14:textId="77777777">
        <w:trPr>
          <w:trHeight w:val="751"/>
        </w:trPr>
        <w:tc>
          <w:tcPr>
            <w:tcW w:w="5610" w:type="dxa"/>
            <w:tcBorders>
              <w:top w:val="nil"/>
              <w:left w:val="nil"/>
              <w:bottom w:val="nil"/>
              <w:right w:val="nil"/>
            </w:tcBorders>
          </w:tcPr>
          <w:p w14:paraId="7C823093" w14:textId="77777777" w:rsidR="0020529A" w:rsidRDefault="006F3BB4">
            <w:pPr>
              <w:jc w:val="both"/>
              <w:rPr>
                <w:rFonts w:ascii="Arial" w:eastAsia="Arial" w:hAnsi="Arial" w:cs="Arial"/>
                <w:sz w:val="24"/>
                <w:szCs w:val="24"/>
              </w:rPr>
            </w:pPr>
            <w:r>
              <w:rPr>
                <w:rFonts w:ascii="Arial" w:eastAsia="Arial" w:hAnsi="Arial" w:cs="Arial"/>
                <w:sz w:val="24"/>
                <w:szCs w:val="24"/>
              </w:rPr>
              <w:t>Prepared by:</w:t>
            </w:r>
          </w:p>
          <w:p w14:paraId="298E81DF" w14:textId="77777777" w:rsidR="0020529A" w:rsidRDefault="0020529A">
            <w:pPr>
              <w:jc w:val="both"/>
              <w:rPr>
                <w:rFonts w:ascii="Arial" w:eastAsia="Arial" w:hAnsi="Arial" w:cs="Arial"/>
                <w:b/>
                <w:sz w:val="24"/>
                <w:szCs w:val="24"/>
              </w:rPr>
            </w:pPr>
          </w:p>
          <w:p w14:paraId="5B191543" w14:textId="7242F52B" w:rsidR="00CA3B21" w:rsidRDefault="00E14E7D">
            <w:pPr>
              <w:jc w:val="both"/>
              <w:rPr>
                <w:rFonts w:ascii="Arial" w:eastAsia="Arial" w:hAnsi="Arial" w:cs="Arial"/>
                <w:b/>
                <w:sz w:val="24"/>
                <w:szCs w:val="24"/>
              </w:rPr>
            </w:pPr>
            <w:r>
              <w:rPr>
                <w:rFonts w:ascii="Arial" w:eastAsia="Arial" w:hAnsi="Arial" w:cs="Arial"/>
                <w:b/>
                <w:sz w:val="24"/>
                <w:szCs w:val="24"/>
              </w:rPr>
              <w:t>JOANNA CAMILLE R. JACINTO-LIZARDO</w:t>
            </w:r>
          </w:p>
        </w:tc>
        <w:tc>
          <w:tcPr>
            <w:tcW w:w="4110" w:type="dxa"/>
            <w:tcBorders>
              <w:top w:val="nil"/>
              <w:left w:val="nil"/>
              <w:bottom w:val="nil"/>
              <w:right w:val="nil"/>
            </w:tcBorders>
          </w:tcPr>
          <w:p w14:paraId="6C518F97" w14:textId="77777777" w:rsidR="0020529A" w:rsidRDefault="006F3BB4">
            <w:pPr>
              <w:jc w:val="both"/>
              <w:rPr>
                <w:rFonts w:ascii="Arial" w:eastAsia="Arial" w:hAnsi="Arial" w:cs="Arial"/>
                <w:sz w:val="24"/>
                <w:szCs w:val="24"/>
              </w:rPr>
            </w:pPr>
            <w:r>
              <w:rPr>
                <w:rFonts w:ascii="Arial" w:eastAsia="Arial" w:hAnsi="Arial" w:cs="Arial"/>
                <w:sz w:val="24"/>
                <w:szCs w:val="24"/>
              </w:rPr>
              <w:t>Released by:</w:t>
            </w:r>
          </w:p>
          <w:p w14:paraId="0FFE9569" w14:textId="77777777" w:rsidR="0020529A" w:rsidRDefault="0020529A">
            <w:pPr>
              <w:jc w:val="both"/>
              <w:rPr>
                <w:rFonts w:ascii="Arial" w:eastAsia="Arial" w:hAnsi="Arial" w:cs="Arial"/>
                <w:sz w:val="24"/>
                <w:szCs w:val="24"/>
              </w:rPr>
            </w:pPr>
          </w:p>
          <w:p w14:paraId="34B692DE" w14:textId="6947D3C4" w:rsidR="0020529A" w:rsidRDefault="00E74EB0">
            <w:pPr>
              <w:spacing w:after="160" w:line="259" w:lineRule="auto"/>
              <w:jc w:val="both"/>
              <w:rPr>
                <w:rFonts w:ascii="Arial" w:eastAsia="Arial" w:hAnsi="Arial" w:cs="Arial"/>
                <w:b/>
                <w:sz w:val="24"/>
                <w:szCs w:val="24"/>
              </w:rPr>
            </w:pPr>
            <w:bookmarkStart w:id="6" w:name="_heading=h.3znysh7" w:colFirst="0" w:colLast="0"/>
            <w:bookmarkEnd w:id="6"/>
            <w:r>
              <w:rPr>
                <w:rFonts w:ascii="Arial" w:eastAsia="Arial" w:hAnsi="Arial" w:cs="Arial"/>
                <w:b/>
                <w:sz w:val="24"/>
                <w:szCs w:val="24"/>
              </w:rPr>
              <w:t>RODEL V. CABADDU</w:t>
            </w:r>
          </w:p>
        </w:tc>
      </w:tr>
    </w:tbl>
    <w:p w14:paraId="6FD2E56E" w14:textId="77777777" w:rsidR="0020529A" w:rsidRDefault="0020529A">
      <w:pPr>
        <w:spacing w:after="0" w:line="240" w:lineRule="auto"/>
        <w:rPr>
          <w:rFonts w:ascii="Arial" w:eastAsia="Arial" w:hAnsi="Arial" w:cs="Arial"/>
          <w:sz w:val="20"/>
          <w:szCs w:val="20"/>
        </w:rPr>
      </w:pPr>
    </w:p>
    <w:sectPr w:rsidR="0020529A">
      <w:headerReference w:type="default" r:id="rId9"/>
      <w:footerReference w:type="default" r:id="rId10"/>
      <w:pgSz w:w="11907" w:h="16839"/>
      <w:pgMar w:top="36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B30F9" w14:textId="77777777" w:rsidR="000D7AA7" w:rsidRDefault="000D7AA7">
      <w:pPr>
        <w:spacing w:after="0" w:line="240" w:lineRule="auto"/>
      </w:pPr>
      <w:r>
        <w:separator/>
      </w:r>
    </w:p>
  </w:endnote>
  <w:endnote w:type="continuationSeparator" w:id="0">
    <w:p w14:paraId="39437F39" w14:textId="77777777" w:rsidR="000D7AA7" w:rsidRDefault="000D7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1811" w14:textId="77777777" w:rsidR="0020529A" w:rsidRDefault="0020529A">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14:paraId="18372822" w14:textId="0912FF30" w:rsidR="0020529A" w:rsidRDefault="009E125F" w:rsidP="009E125F">
    <w:pPr>
      <w:pBdr>
        <w:top w:val="nil"/>
        <w:left w:val="nil"/>
        <w:bottom w:val="nil"/>
        <w:right w:val="nil"/>
        <w:between w:val="nil"/>
      </w:pBdr>
      <w:tabs>
        <w:tab w:val="center" w:pos="4680"/>
        <w:tab w:val="right" w:pos="9360"/>
      </w:tabs>
      <w:spacing w:after="0" w:line="240" w:lineRule="auto"/>
      <w:jc w:val="right"/>
      <w:rPr>
        <w:sz w:val="16"/>
        <w:szCs w:val="16"/>
      </w:rPr>
    </w:pPr>
    <w:r w:rsidRPr="009E125F">
      <w:rPr>
        <w:sz w:val="16"/>
        <w:szCs w:val="16"/>
      </w:rPr>
      <w:t xml:space="preserve">DSWD DROMIC Preparedness </w:t>
    </w:r>
    <w:r w:rsidR="00BD22C8">
      <w:rPr>
        <w:sz w:val="16"/>
        <w:szCs w:val="16"/>
      </w:rPr>
      <w:t>for Response Report #4</w:t>
    </w:r>
    <w:r w:rsidR="004F3D7C">
      <w:rPr>
        <w:sz w:val="16"/>
        <w:szCs w:val="16"/>
      </w:rPr>
      <w:t>6</w:t>
    </w:r>
    <w:r>
      <w:rPr>
        <w:sz w:val="16"/>
        <w:szCs w:val="16"/>
      </w:rPr>
      <w:t xml:space="preserve"> on the </w:t>
    </w:r>
    <w:r w:rsidRPr="009E125F">
      <w:rPr>
        <w:sz w:val="16"/>
        <w:szCs w:val="16"/>
      </w:rPr>
      <w:t>K</w:t>
    </w:r>
    <w:r>
      <w:rPr>
        <w:sz w:val="16"/>
        <w:szCs w:val="16"/>
      </w:rPr>
      <w:t xml:space="preserve">anlaon Volcano Seismic Activity </w:t>
    </w:r>
    <w:r w:rsidRPr="009E125F">
      <w:rPr>
        <w:sz w:val="16"/>
        <w:szCs w:val="16"/>
      </w:rPr>
      <w:t xml:space="preserve">as of </w:t>
    </w:r>
    <w:r w:rsidR="004F3D7C">
      <w:rPr>
        <w:sz w:val="16"/>
        <w:szCs w:val="16"/>
      </w:rPr>
      <w:t>07</w:t>
    </w:r>
    <w:r w:rsidRPr="009E125F">
      <w:rPr>
        <w:sz w:val="16"/>
        <w:szCs w:val="16"/>
      </w:rPr>
      <w:t xml:space="preserve"> August 2022, 6AM</w:t>
    </w:r>
    <w:r w:rsidR="00427B7D">
      <w:rPr>
        <w:sz w:val="16"/>
        <w:szCs w:val="16"/>
      </w:rPr>
      <w:t xml:space="preserve"> </w:t>
    </w:r>
    <w:r w:rsidR="006F3BB4">
      <w:rPr>
        <w:color w:val="000000"/>
        <w:sz w:val="20"/>
        <w:szCs w:val="20"/>
      </w:rPr>
      <w:t xml:space="preserve">| </w:t>
    </w:r>
    <w:r w:rsidR="006F3BB4">
      <w:rPr>
        <w:color w:val="000000"/>
        <w:sz w:val="16"/>
        <w:szCs w:val="16"/>
      </w:rPr>
      <w:t xml:space="preserve">Page </w:t>
    </w:r>
    <w:r w:rsidR="006F3BB4">
      <w:rPr>
        <w:b/>
        <w:color w:val="000000"/>
        <w:sz w:val="16"/>
        <w:szCs w:val="16"/>
      </w:rPr>
      <w:fldChar w:fldCharType="begin"/>
    </w:r>
    <w:r w:rsidR="006F3BB4">
      <w:rPr>
        <w:b/>
        <w:color w:val="000000"/>
        <w:sz w:val="16"/>
        <w:szCs w:val="16"/>
      </w:rPr>
      <w:instrText>PAGE</w:instrText>
    </w:r>
    <w:r w:rsidR="006F3BB4">
      <w:rPr>
        <w:b/>
        <w:color w:val="000000"/>
        <w:sz w:val="16"/>
        <w:szCs w:val="16"/>
      </w:rPr>
      <w:fldChar w:fldCharType="separate"/>
    </w:r>
    <w:r w:rsidR="00070687">
      <w:rPr>
        <w:b/>
        <w:noProof/>
        <w:color w:val="000000"/>
        <w:sz w:val="16"/>
        <w:szCs w:val="16"/>
      </w:rPr>
      <w:t>5</w:t>
    </w:r>
    <w:r w:rsidR="006F3BB4">
      <w:rPr>
        <w:b/>
        <w:color w:val="000000"/>
        <w:sz w:val="16"/>
        <w:szCs w:val="16"/>
      </w:rPr>
      <w:fldChar w:fldCharType="end"/>
    </w:r>
    <w:r w:rsidR="006F3BB4">
      <w:rPr>
        <w:color w:val="000000"/>
        <w:sz w:val="16"/>
        <w:szCs w:val="16"/>
      </w:rPr>
      <w:t xml:space="preserve"> of </w:t>
    </w:r>
    <w:r w:rsidR="006F3BB4">
      <w:rPr>
        <w:b/>
        <w:color w:val="000000"/>
        <w:sz w:val="16"/>
        <w:szCs w:val="16"/>
      </w:rPr>
      <w:fldChar w:fldCharType="begin"/>
    </w:r>
    <w:r w:rsidR="006F3BB4">
      <w:rPr>
        <w:b/>
        <w:color w:val="000000"/>
        <w:sz w:val="16"/>
        <w:szCs w:val="16"/>
      </w:rPr>
      <w:instrText>NUMPAGES</w:instrText>
    </w:r>
    <w:r w:rsidR="006F3BB4">
      <w:rPr>
        <w:b/>
        <w:color w:val="000000"/>
        <w:sz w:val="16"/>
        <w:szCs w:val="16"/>
      </w:rPr>
      <w:fldChar w:fldCharType="separate"/>
    </w:r>
    <w:r w:rsidR="00070687">
      <w:rPr>
        <w:b/>
        <w:noProof/>
        <w:color w:val="000000"/>
        <w:sz w:val="16"/>
        <w:szCs w:val="16"/>
      </w:rPr>
      <w:t>5</w:t>
    </w:r>
    <w:r w:rsidR="006F3BB4">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0C067" w14:textId="77777777" w:rsidR="000D7AA7" w:rsidRDefault="000D7AA7">
      <w:pPr>
        <w:spacing w:after="0" w:line="240" w:lineRule="auto"/>
      </w:pPr>
      <w:r>
        <w:separator/>
      </w:r>
    </w:p>
  </w:footnote>
  <w:footnote w:type="continuationSeparator" w:id="0">
    <w:p w14:paraId="159B8057" w14:textId="77777777" w:rsidR="000D7AA7" w:rsidRDefault="000D7AA7">
      <w:pPr>
        <w:spacing w:after="0" w:line="240" w:lineRule="auto"/>
      </w:pPr>
      <w:r>
        <w:continuationSeparator/>
      </w:r>
    </w:p>
  </w:footnote>
  <w:footnote w:id="1">
    <w:p w14:paraId="13FD105B" w14:textId="77777777" w:rsidR="0020529A" w:rsidRDefault="006F3BB4">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color w:val="000000"/>
          <w:sz w:val="16"/>
          <w:szCs w:val="16"/>
        </w:rPr>
        <w:t>Canlaon City Official website (www.canlaoncity.gov.ph)</w:t>
      </w:r>
    </w:p>
  </w:footnote>
  <w:footnote w:id="2">
    <w:p w14:paraId="6E6933A5" w14:textId="77777777" w:rsidR="0020529A" w:rsidRDefault="006F3BB4">
      <w:pPr>
        <w:pBdr>
          <w:top w:val="nil"/>
          <w:left w:val="nil"/>
          <w:bottom w:val="nil"/>
          <w:right w:val="nil"/>
          <w:between w:val="nil"/>
        </w:pBdr>
        <w:spacing w:after="0" w:line="240" w:lineRule="auto"/>
        <w:ind w:left="142" w:hanging="142"/>
        <w:jc w:val="both"/>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sz w:val="16"/>
          <w:szCs w:val="16"/>
        </w:rPr>
        <w:t xml:space="preserve">Department of Science and Technology - </w:t>
      </w:r>
      <w:r>
        <w:rPr>
          <w:rFonts w:ascii="Arial" w:eastAsia="Arial" w:hAnsi="Arial" w:cs="Arial"/>
          <w:i/>
          <w:color w:val="000000"/>
          <w:sz w:val="16"/>
          <w:szCs w:val="16"/>
        </w:rPr>
        <w:t>Philippine Institute of Volcanology and Seismology</w:t>
      </w:r>
      <w:r>
        <w:rPr>
          <w:rFonts w:ascii="Arial" w:eastAsia="Arial" w:hAnsi="Arial" w:cs="Arial"/>
          <w:i/>
          <w:sz w:val="16"/>
          <w:szCs w:val="16"/>
        </w:rPr>
        <w:t xml:space="preserve"> </w:t>
      </w:r>
      <w:r>
        <w:rPr>
          <w:rFonts w:ascii="Arial" w:eastAsia="Arial" w:hAnsi="Arial" w:cs="Arial"/>
          <w:i/>
          <w:color w:val="000000"/>
          <w:sz w:val="16"/>
          <w:szCs w:val="16"/>
        </w:rPr>
        <w:t>(</w:t>
      </w:r>
      <w:r>
        <w:rPr>
          <w:rFonts w:ascii="Arial" w:eastAsia="Arial" w:hAnsi="Arial" w:cs="Arial"/>
          <w:i/>
          <w:sz w:val="16"/>
          <w:szCs w:val="16"/>
        </w:rPr>
        <w:t>DOST-</w:t>
      </w:r>
      <w:r>
        <w:rPr>
          <w:rFonts w:ascii="Arial" w:eastAsia="Arial" w:hAnsi="Arial" w:cs="Arial"/>
          <w:i/>
          <w:color w:val="000000"/>
          <w:sz w:val="16"/>
          <w:szCs w:val="16"/>
        </w:rPr>
        <w:t>PHIVOLCS)</w:t>
      </w:r>
    </w:p>
  </w:footnote>
  <w:footnote w:id="3">
    <w:p w14:paraId="54EF3C4F" w14:textId="77777777" w:rsidR="0020529A" w:rsidRDefault="006F3BB4">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color w:val="000000"/>
          <w:sz w:val="16"/>
          <w:szCs w:val="16"/>
        </w:rPr>
        <w:t>Philippine Statistics Authority (PSA), May 2020</w:t>
      </w:r>
    </w:p>
  </w:footnote>
  <w:footnote w:id="4">
    <w:p w14:paraId="78E99290" w14:textId="3042EE55" w:rsidR="0020529A" w:rsidRDefault="006F3BB4">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rFonts w:ascii="Arial" w:eastAsia="Arial" w:hAnsi="Arial" w:cs="Arial"/>
          <w:i/>
          <w:sz w:val="16"/>
          <w:szCs w:val="16"/>
        </w:rPr>
        <w:t xml:space="preserve"> Based on the latest DOST-PHIVOLCS</w:t>
      </w:r>
      <w:r w:rsidR="00AE05FE">
        <w:rPr>
          <w:rFonts w:ascii="Arial" w:eastAsia="Arial" w:hAnsi="Arial" w:cs="Arial"/>
          <w:i/>
          <w:color w:val="000000"/>
          <w:sz w:val="16"/>
          <w:szCs w:val="16"/>
        </w:rPr>
        <w:t xml:space="preserve"> Advisory issued on 0</w:t>
      </w:r>
      <w:r w:rsidR="00BD22C8">
        <w:rPr>
          <w:rFonts w:ascii="Arial" w:eastAsia="Arial" w:hAnsi="Arial" w:cs="Arial"/>
          <w:i/>
          <w:color w:val="000000"/>
          <w:sz w:val="16"/>
          <w:szCs w:val="16"/>
        </w:rPr>
        <w:t>5</w:t>
      </w:r>
      <w:r w:rsidR="00AE05FE">
        <w:rPr>
          <w:rFonts w:ascii="Arial" w:eastAsia="Arial" w:hAnsi="Arial" w:cs="Arial"/>
          <w:i/>
          <w:color w:val="000000"/>
          <w:sz w:val="16"/>
          <w:szCs w:val="16"/>
        </w:rPr>
        <w:t xml:space="preserve"> </w:t>
      </w:r>
      <w:r w:rsidR="00D05797">
        <w:rPr>
          <w:rFonts w:ascii="Arial" w:eastAsia="Arial" w:hAnsi="Arial" w:cs="Arial"/>
          <w:i/>
          <w:color w:val="000000"/>
          <w:sz w:val="16"/>
          <w:szCs w:val="16"/>
        </w:rPr>
        <w:t xml:space="preserve">August </w:t>
      </w:r>
      <w:r>
        <w:rPr>
          <w:rFonts w:ascii="Arial" w:eastAsia="Arial" w:hAnsi="Arial" w:cs="Arial"/>
          <w:i/>
          <w:color w:val="000000"/>
          <w:sz w:val="16"/>
          <w:szCs w:val="16"/>
        </w:rPr>
        <w:t>2022, 5AM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A33DA" w14:textId="77777777" w:rsidR="0020529A" w:rsidRDefault="006F3BB4">
    <w:pPr>
      <w:tabs>
        <w:tab w:val="center" w:pos="4680"/>
        <w:tab w:val="right" w:pos="9360"/>
      </w:tabs>
      <w:spacing w:after="0" w:line="240" w:lineRule="auto"/>
    </w:pPr>
    <w:r>
      <w:rPr>
        <w:noProof/>
        <w:lang w:eastAsia="en-PH"/>
      </w:rPr>
      <w:drawing>
        <wp:anchor distT="0" distB="0" distL="114300" distR="114300" simplePos="0" relativeHeight="251658240" behindDoc="0" locked="0" layoutInCell="1" hidden="0" allowOverlap="1" wp14:anchorId="093E3D0E" wp14:editId="33B8FEC7">
          <wp:simplePos x="0" y="0"/>
          <wp:positionH relativeFrom="column">
            <wp:posOffset>3456940</wp:posOffset>
          </wp:positionH>
          <wp:positionV relativeFrom="paragraph">
            <wp:posOffset>3810</wp:posOffset>
          </wp:positionV>
          <wp:extent cx="2912110" cy="797560"/>
          <wp:effectExtent l="0" t="0" r="0" b="0"/>
          <wp:wrapSquare wrapText="bothSides" distT="0" distB="0" distL="114300" distR="114300"/>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12110" cy="797560"/>
                  </a:xfrm>
                  <a:prstGeom prst="rect">
                    <a:avLst/>
                  </a:prstGeom>
                  <a:ln/>
                </pic:spPr>
              </pic:pic>
            </a:graphicData>
          </a:graphic>
        </wp:anchor>
      </w:drawing>
    </w:r>
  </w:p>
  <w:p w14:paraId="2423DE8E" w14:textId="77777777" w:rsidR="0020529A" w:rsidRDefault="006F3BB4">
    <w:pPr>
      <w:tabs>
        <w:tab w:val="center" w:pos="4680"/>
        <w:tab w:val="right" w:pos="9360"/>
      </w:tabs>
      <w:spacing w:after="0" w:line="240" w:lineRule="auto"/>
    </w:pPr>
    <w:r>
      <w:rPr>
        <w:noProof/>
        <w:lang w:eastAsia="en-PH"/>
      </w:rPr>
      <w:drawing>
        <wp:inline distT="0" distB="0" distL="0" distR="0" wp14:anchorId="5B12F713" wp14:editId="019D8B7E">
          <wp:extent cx="2279039" cy="655224"/>
          <wp:effectExtent l="0" t="0" r="0" b="0"/>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0F1DB572" w14:textId="77777777" w:rsidR="0020529A" w:rsidRDefault="0020529A">
    <w:pPr>
      <w:pBdr>
        <w:bottom w:val="single" w:sz="6" w:space="1" w:color="000000"/>
      </w:pBdr>
      <w:tabs>
        <w:tab w:val="center" w:pos="4680"/>
        <w:tab w:val="right" w:pos="9360"/>
      </w:tabs>
      <w:spacing w:after="0" w:line="240" w:lineRule="auto"/>
    </w:pPr>
  </w:p>
  <w:p w14:paraId="01C69150" w14:textId="77777777" w:rsidR="0020529A" w:rsidRDefault="0020529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91BE0"/>
    <w:multiLevelType w:val="multilevel"/>
    <w:tmpl w:val="237806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25F597C"/>
    <w:multiLevelType w:val="multilevel"/>
    <w:tmpl w:val="480434EE"/>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C9179CB"/>
    <w:multiLevelType w:val="multilevel"/>
    <w:tmpl w:val="696CB216"/>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60F7B5E"/>
    <w:multiLevelType w:val="multilevel"/>
    <w:tmpl w:val="49A6D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DB37B8"/>
    <w:multiLevelType w:val="multilevel"/>
    <w:tmpl w:val="957AF2C6"/>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5" w15:restartNumberingAfterBreak="0">
    <w:nsid w:val="5320473C"/>
    <w:multiLevelType w:val="multilevel"/>
    <w:tmpl w:val="39A60596"/>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FEA7140"/>
    <w:multiLevelType w:val="multilevel"/>
    <w:tmpl w:val="C9DCB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06371B"/>
    <w:multiLevelType w:val="multilevel"/>
    <w:tmpl w:val="922061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7B816A3E"/>
    <w:multiLevelType w:val="multilevel"/>
    <w:tmpl w:val="4998A042"/>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ED804E8"/>
    <w:multiLevelType w:val="multilevel"/>
    <w:tmpl w:val="D248AC3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06203082">
    <w:abstractNumId w:val="0"/>
  </w:num>
  <w:num w:numId="2" w16cid:durableId="1494488343">
    <w:abstractNumId w:val="3"/>
  </w:num>
  <w:num w:numId="3" w16cid:durableId="943421096">
    <w:abstractNumId w:val="4"/>
  </w:num>
  <w:num w:numId="4" w16cid:durableId="480118448">
    <w:abstractNumId w:val="2"/>
  </w:num>
  <w:num w:numId="5" w16cid:durableId="1466658995">
    <w:abstractNumId w:val="5"/>
  </w:num>
  <w:num w:numId="6" w16cid:durableId="1452434914">
    <w:abstractNumId w:val="6"/>
  </w:num>
  <w:num w:numId="7" w16cid:durableId="660814296">
    <w:abstractNumId w:val="1"/>
  </w:num>
  <w:num w:numId="8" w16cid:durableId="143861471">
    <w:abstractNumId w:val="7"/>
  </w:num>
  <w:num w:numId="9" w16cid:durableId="1670281283">
    <w:abstractNumId w:val="8"/>
  </w:num>
  <w:num w:numId="10" w16cid:durableId="7859252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29A"/>
    <w:rsid w:val="00023BD3"/>
    <w:rsid w:val="0003236B"/>
    <w:rsid w:val="000531F2"/>
    <w:rsid w:val="00070687"/>
    <w:rsid w:val="00081402"/>
    <w:rsid w:val="00095C63"/>
    <w:rsid w:val="000D7AA7"/>
    <w:rsid w:val="000F2EDB"/>
    <w:rsid w:val="001726F9"/>
    <w:rsid w:val="00172FB9"/>
    <w:rsid w:val="00183812"/>
    <w:rsid w:val="001865BF"/>
    <w:rsid w:val="00192608"/>
    <w:rsid w:val="001977D6"/>
    <w:rsid w:val="001A1B57"/>
    <w:rsid w:val="001F612B"/>
    <w:rsid w:val="0020529A"/>
    <w:rsid w:val="0021151C"/>
    <w:rsid w:val="00226834"/>
    <w:rsid w:val="002370AD"/>
    <w:rsid w:val="00265BC3"/>
    <w:rsid w:val="00281E32"/>
    <w:rsid w:val="002876E2"/>
    <w:rsid w:val="002A7F2F"/>
    <w:rsid w:val="002C7B9D"/>
    <w:rsid w:val="002D0452"/>
    <w:rsid w:val="002F5C4B"/>
    <w:rsid w:val="0034579A"/>
    <w:rsid w:val="0038143A"/>
    <w:rsid w:val="003D2092"/>
    <w:rsid w:val="004122A6"/>
    <w:rsid w:val="00415ECD"/>
    <w:rsid w:val="00416F22"/>
    <w:rsid w:val="00427B7D"/>
    <w:rsid w:val="00433A7F"/>
    <w:rsid w:val="004479D5"/>
    <w:rsid w:val="004545E9"/>
    <w:rsid w:val="00472193"/>
    <w:rsid w:val="004B14DA"/>
    <w:rsid w:val="004C32A5"/>
    <w:rsid w:val="004C44B6"/>
    <w:rsid w:val="004E11C1"/>
    <w:rsid w:val="004F3D7C"/>
    <w:rsid w:val="00513AE9"/>
    <w:rsid w:val="0051495C"/>
    <w:rsid w:val="005238A4"/>
    <w:rsid w:val="00560908"/>
    <w:rsid w:val="005C2E02"/>
    <w:rsid w:val="005E09A6"/>
    <w:rsid w:val="005E128F"/>
    <w:rsid w:val="00607173"/>
    <w:rsid w:val="00621174"/>
    <w:rsid w:val="006408A6"/>
    <w:rsid w:val="0065108E"/>
    <w:rsid w:val="0067382E"/>
    <w:rsid w:val="006757F4"/>
    <w:rsid w:val="00691D85"/>
    <w:rsid w:val="00694527"/>
    <w:rsid w:val="00697100"/>
    <w:rsid w:val="006C309B"/>
    <w:rsid w:val="006D49AD"/>
    <w:rsid w:val="006F3BB4"/>
    <w:rsid w:val="00700077"/>
    <w:rsid w:val="007127DB"/>
    <w:rsid w:val="00713169"/>
    <w:rsid w:val="00753591"/>
    <w:rsid w:val="00753FE8"/>
    <w:rsid w:val="00797FBF"/>
    <w:rsid w:val="007A1102"/>
    <w:rsid w:val="007A5F78"/>
    <w:rsid w:val="007C60B1"/>
    <w:rsid w:val="007E43E8"/>
    <w:rsid w:val="007F2493"/>
    <w:rsid w:val="008135D4"/>
    <w:rsid w:val="00850EB5"/>
    <w:rsid w:val="0089748D"/>
    <w:rsid w:val="008A5D55"/>
    <w:rsid w:val="008B6C0B"/>
    <w:rsid w:val="008C71F2"/>
    <w:rsid w:val="008C747C"/>
    <w:rsid w:val="008E4189"/>
    <w:rsid w:val="008F62C1"/>
    <w:rsid w:val="00972B2F"/>
    <w:rsid w:val="0097600F"/>
    <w:rsid w:val="009846FA"/>
    <w:rsid w:val="00995FB4"/>
    <w:rsid w:val="009B2220"/>
    <w:rsid w:val="009C3720"/>
    <w:rsid w:val="009D1EF6"/>
    <w:rsid w:val="009E125F"/>
    <w:rsid w:val="00A13043"/>
    <w:rsid w:val="00A526A2"/>
    <w:rsid w:val="00A65E1D"/>
    <w:rsid w:val="00A7210D"/>
    <w:rsid w:val="00A74109"/>
    <w:rsid w:val="00A93D46"/>
    <w:rsid w:val="00AA4799"/>
    <w:rsid w:val="00AE05FE"/>
    <w:rsid w:val="00AE22B3"/>
    <w:rsid w:val="00AE710C"/>
    <w:rsid w:val="00AF0D50"/>
    <w:rsid w:val="00AF4F4F"/>
    <w:rsid w:val="00B17155"/>
    <w:rsid w:val="00B35DC3"/>
    <w:rsid w:val="00B60E6E"/>
    <w:rsid w:val="00B70829"/>
    <w:rsid w:val="00B75898"/>
    <w:rsid w:val="00B93848"/>
    <w:rsid w:val="00BA0A78"/>
    <w:rsid w:val="00BB570C"/>
    <w:rsid w:val="00BC340D"/>
    <w:rsid w:val="00BC4C86"/>
    <w:rsid w:val="00BD22C8"/>
    <w:rsid w:val="00BE5594"/>
    <w:rsid w:val="00BF3FB9"/>
    <w:rsid w:val="00C02276"/>
    <w:rsid w:val="00C03BF1"/>
    <w:rsid w:val="00C222B8"/>
    <w:rsid w:val="00C73FCD"/>
    <w:rsid w:val="00C779B6"/>
    <w:rsid w:val="00C802F6"/>
    <w:rsid w:val="00C860B5"/>
    <w:rsid w:val="00C87C9A"/>
    <w:rsid w:val="00CA3B21"/>
    <w:rsid w:val="00CC1FF8"/>
    <w:rsid w:val="00CC38BC"/>
    <w:rsid w:val="00D02B97"/>
    <w:rsid w:val="00D0561D"/>
    <w:rsid w:val="00D05797"/>
    <w:rsid w:val="00D22B33"/>
    <w:rsid w:val="00D516E3"/>
    <w:rsid w:val="00D7797A"/>
    <w:rsid w:val="00E039E4"/>
    <w:rsid w:val="00E14E7D"/>
    <w:rsid w:val="00E74EB0"/>
    <w:rsid w:val="00E752A9"/>
    <w:rsid w:val="00E764D3"/>
    <w:rsid w:val="00E77217"/>
    <w:rsid w:val="00E8081D"/>
    <w:rsid w:val="00E8334A"/>
    <w:rsid w:val="00E91823"/>
    <w:rsid w:val="00EB3F0E"/>
    <w:rsid w:val="00EC14F6"/>
    <w:rsid w:val="00F02F29"/>
    <w:rsid w:val="00F71677"/>
    <w:rsid w:val="00F76BA7"/>
    <w:rsid w:val="00F81F9F"/>
    <w:rsid w:val="00FC1691"/>
    <w:rsid w:val="00FC7B81"/>
    <w:rsid w:val="00FE3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A95EA"/>
  <w15:docId w15:val="{DEA8A2DC-7935-4D7A-80A8-0AD29FB87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09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character" w:customStyle="1" w:styleId="ListParagraphChar">
    <w:name w:val="List Paragraph Char"/>
    <w:link w:val="ListParagraph"/>
    <w:uiPriority w:val="34"/>
    <w:locked/>
    <w:rsid w:val="00E0043D"/>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eastAsia="SimSun"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238788826140140219gmail-msonormal">
    <w:name w:val="m_-238788826140140219gmail-msonormal"/>
    <w:basedOn w:val="Normal"/>
    <w:rsid w:val="00E004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2416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416E6"/>
    <w:rPr>
      <w:color w:val="0563C1"/>
      <w:u w:val="single"/>
    </w:rPr>
  </w:style>
  <w:style w:type="paragraph" w:customStyle="1" w:styleId="font5">
    <w:name w:val="font5"/>
    <w:basedOn w:val="Normal"/>
    <w:rsid w:val="002416E6"/>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9">
    <w:name w:val="xl69"/>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0">
    <w:name w:val="xl70"/>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1">
    <w:name w:val="xl71"/>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2">
    <w:name w:val="xl7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3">
    <w:name w:val="xl73"/>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4">
    <w:name w:val="xl7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5">
    <w:name w:val="xl75"/>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6">
    <w:name w:val="xl76"/>
    <w:basedOn w:val="Normal"/>
    <w:rsid w:val="002416E6"/>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7">
    <w:name w:val="xl77"/>
    <w:basedOn w:val="Normal"/>
    <w:rsid w:val="002416E6"/>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8">
    <w:name w:val="xl78"/>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9">
    <w:name w:val="xl79"/>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0">
    <w:name w:val="xl80"/>
    <w:basedOn w:val="Normal"/>
    <w:rsid w:val="002416E6"/>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1">
    <w:name w:val="xl81"/>
    <w:basedOn w:val="Normal"/>
    <w:rsid w:val="002416E6"/>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2">
    <w:name w:val="xl82"/>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3">
    <w:name w:val="xl83"/>
    <w:basedOn w:val="Normal"/>
    <w:rsid w:val="002416E6"/>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4">
    <w:name w:val="xl84"/>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5">
    <w:name w:val="xl85"/>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6">
    <w:name w:val="xl86"/>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7">
    <w:name w:val="xl87"/>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8">
    <w:name w:val="xl88"/>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9">
    <w:name w:val="xl89"/>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0">
    <w:name w:val="xl90"/>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91">
    <w:name w:val="xl91"/>
    <w:basedOn w:val="Normal"/>
    <w:rsid w:val="002416E6"/>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2416E6"/>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2416E6"/>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2416E6"/>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2416E6"/>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2416E6"/>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2416E6"/>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2416E6"/>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4">
    <w:name w:val="xl10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5">
    <w:name w:val="xl105"/>
    <w:basedOn w:val="Normal"/>
    <w:rsid w:val="002416E6"/>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6">
    <w:name w:val="xl106"/>
    <w:basedOn w:val="Normal"/>
    <w:rsid w:val="002416E6"/>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2416E6"/>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2416E6"/>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0">
    <w:name w:val="xl11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2416E6"/>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2">
    <w:name w:val="xl11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2416E6"/>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4">
    <w:name w:val="xl114"/>
    <w:basedOn w:val="Normal"/>
    <w:rsid w:val="002416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6">
    <w:name w:val="xl116"/>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3">
    <w:name w:val="xl63"/>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117">
    <w:name w:val="xl117"/>
    <w:basedOn w:val="Normal"/>
    <w:rsid w:val="002416E6"/>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8">
    <w:name w:val="xl118"/>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1">
    <w:name w:val="xl121"/>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2">
    <w:name w:val="xl122"/>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3">
    <w:name w:val="xl123"/>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4">
    <w:name w:val="xl124"/>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6">
    <w:name w:val="xl126"/>
    <w:basedOn w:val="Normal"/>
    <w:rsid w:val="002416E6"/>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2416E6"/>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4">
    <w:name w:val="xl134"/>
    <w:basedOn w:val="Normal"/>
    <w:rsid w:val="002416E6"/>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5">
    <w:name w:val="xl135"/>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2416E6"/>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2416E6"/>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6">
    <w:name w:val="xl146"/>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0F44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460"/>
    <w:rPr>
      <w:sz w:val="20"/>
      <w:szCs w:val="20"/>
    </w:rPr>
  </w:style>
  <w:style w:type="character" w:styleId="FootnoteReference">
    <w:name w:val="footnote reference"/>
    <w:basedOn w:val="DefaultParagraphFont"/>
    <w:uiPriority w:val="99"/>
    <w:semiHidden/>
    <w:unhideWhenUsed/>
    <w:rsid w:val="000F4460"/>
    <w:rPr>
      <w:vertAlign w:val="superscript"/>
    </w:rPr>
  </w:style>
  <w:style w:type="character" w:customStyle="1" w:styleId="apple-converted-space">
    <w:name w:val="apple-converted-space"/>
    <w:basedOn w:val="DefaultParagraphFont"/>
    <w:rsid w:val="00823347"/>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72" w:type="dxa"/>
        <w:right w:w="72" w:type="dxa"/>
      </w:tblCellMar>
    </w:tblPr>
  </w:style>
  <w:style w:type="table" w:customStyle="1" w:styleId="af7">
    <w:basedOn w:val="TableNormal"/>
    <w:pPr>
      <w:spacing w:after="0" w:line="240" w:lineRule="auto"/>
    </w:pPr>
    <w:tblPr>
      <w:tblStyleRowBandSize w:val="1"/>
      <w:tblStyleColBandSize w:val="1"/>
      <w:tblCellMar>
        <w:left w:w="72" w:type="dxa"/>
        <w:right w:w="72" w:type="dxa"/>
      </w:tblCellMar>
    </w:tblPr>
  </w:style>
  <w:style w:type="table" w:customStyle="1" w:styleId="af8">
    <w:basedOn w:val="TableNormal"/>
    <w:pPr>
      <w:spacing w:after="0" w:line="240" w:lineRule="auto"/>
    </w:pPr>
    <w:tblPr>
      <w:tblStyleRowBandSize w:val="1"/>
      <w:tblStyleColBandSize w:val="1"/>
      <w:tblCellMar>
        <w:left w:w="72" w:type="dxa"/>
        <w:right w:w="72"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left w:w="144" w:type="dxa"/>
        <w:right w:w="144"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44548">
      <w:bodyDiv w:val="1"/>
      <w:marLeft w:val="0"/>
      <w:marRight w:val="0"/>
      <w:marTop w:val="0"/>
      <w:marBottom w:val="0"/>
      <w:divBdr>
        <w:top w:val="none" w:sz="0" w:space="0" w:color="auto"/>
        <w:left w:val="none" w:sz="0" w:space="0" w:color="auto"/>
        <w:bottom w:val="none" w:sz="0" w:space="0" w:color="auto"/>
        <w:right w:val="none" w:sz="0" w:space="0" w:color="auto"/>
      </w:divBdr>
    </w:div>
    <w:div w:id="671954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2kLOfuFO7BZYl9N7HWxX9dpIQw==">AMUW2mXyhSshQ/oQUnw7Wsy5yw9k/yw9moU0LwlDTdpsAFuomJtYyrCORhw5ZQ9yBVCcCFXADzvvNSCnpNRTUlSDEPiCa4y8CSiigPX7lXc0UNDO3eIh6LRZM5t7oyvdd21t+6dQNaJm9zfT6sD/LQJhF8yx0Nut+ykX7eJjXe9fEXVT2ppykIQYf8cUuQGEOay3+xu/j/isO/qoKpjso+129lJRGoOs0A==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Pages>
  <Words>1785</Words>
  <Characters>10176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Rey E. Martija</dc:creator>
  <cp:lastModifiedBy>Jefferson Lizardo</cp:lastModifiedBy>
  <cp:revision>43</cp:revision>
  <cp:lastPrinted>2022-08-05T09:58:00Z</cp:lastPrinted>
  <dcterms:created xsi:type="dcterms:W3CDTF">2022-07-30T12:11:00Z</dcterms:created>
  <dcterms:modified xsi:type="dcterms:W3CDTF">2022-08-06T13:17:00Z</dcterms:modified>
</cp:coreProperties>
</file>