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5074" w14:textId="50D85CD9" w:rsidR="00FA3FCA" w:rsidRDefault="00FA3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FA3FCA">
        <w:rPr>
          <w:rFonts w:ascii="Arial" w:eastAsia="Arial" w:hAnsi="Arial" w:cs="Arial"/>
          <w:b/>
          <w:color w:val="000000"/>
          <w:sz w:val="32"/>
          <w:szCs w:val="32"/>
        </w:rPr>
        <w:t>DSWD DROMIC Report #1</w:t>
      </w:r>
      <w:r w:rsidR="005008E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Pr="00FA3FCA">
        <w:rPr>
          <w:rFonts w:ascii="Arial" w:eastAsia="Arial" w:hAnsi="Arial" w:cs="Arial"/>
          <w:b/>
          <w:color w:val="000000"/>
          <w:sz w:val="32"/>
          <w:szCs w:val="32"/>
        </w:rPr>
        <w:t xml:space="preserve">on the Armed Conflict in </w:t>
      </w:r>
    </w:p>
    <w:p w14:paraId="747625D5" w14:textId="2CCFB18E" w:rsidR="00FA3FCA" w:rsidRDefault="00FA3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FA3FCA">
        <w:rPr>
          <w:rFonts w:ascii="Arial" w:eastAsia="Arial" w:hAnsi="Arial" w:cs="Arial"/>
          <w:b/>
          <w:color w:val="000000"/>
          <w:sz w:val="32"/>
          <w:szCs w:val="32"/>
        </w:rPr>
        <w:t xml:space="preserve">Brgy. </w:t>
      </w:r>
      <w:proofErr w:type="spellStart"/>
      <w:r w:rsidRPr="00FA3FCA">
        <w:rPr>
          <w:rFonts w:ascii="Arial" w:eastAsia="Arial" w:hAnsi="Arial" w:cs="Arial"/>
          <w:b/>
          <w:color w:val="000000"/>
          <w:sz w:val="32"/>
          <w:szCs w:val="32"/>
        </w:rPr>
        <w:t>Mahayag</w:t>
      </w:r>
      <w:proofErr w:type="spellEnd"/>
      <w:r w:rsidRPr="00FA3FCA">
        <w:rPr>
          <w:rFonts w:ascii="Arial" w:eastAsia="Arial" w:hAnsi="Arial" w:cs="Arial"/>
          <w:b/>
          <w:color w:val="000000"/>
          <w:sz w:val="32"/>
          <w:szCs w:val="32"/>
        </w:rPr>
        <w:t xml:space="preserve">, Santa Margarita, Western Samar </w:t>
      </w:r>
    </w:p>
    <w:p w14:paraId="12B10912" w14:textId="37C3B391" w:rsidR="00DE36F4" w:rsidRDefault="00FA3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FA3FCA"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E15884">
        <w:rPr>
          <w:rFonts w:ascii="Arial" w:eastAsia="Arial" w:hAnsi="Arial" w:cs="Arial"/>
          <w:color w:val="000000"/>
          <w:sz w:val="24"/>
          <w:szCs w:val="24"/>
        </w:rPr>
        <w:t xml:space="preserve">02 </w:t>
      </w:r>
      <w:r w:rsidRPr="00FA3FCA">
        <w:rPr>
          <w:rFonts w:ascii="Arial" w:eastAsia="Arial" w:hAnsi="Arial" w:cs="Arial"/>
          <w:color w:val="000000"/>
          <w:sz w:val="24"/>
          <w:szCs w:val="24"/>
        </w:rPr>
        <w:t>February 2024, 6PM</w:t>
      </w:r>
      <w:r w:rsidR="00E47C7A">
        <w:rPr>
          <w:rFonts w:ascii="Arial" w:eastAsia="Arial" w:hAnsi="Arial" w:cs="Arial"/>
          <w:color w:val="000000"/>
          <w:sz w:val="24"/>
          <w:szCs w:val="24"/>
        </w:rPr>
        <w:br/>
      </w:r>
    </w:p>
    <w:p w14:paraId="2CB5AB51" w14:textId="77777777" w:rsidR="00DE36F4" w:rsidRDefault="00E47C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 Overview</w:t>
      </w:r>
    </w:p>
    <w:p w14:paraId="507A099B" w14:textId="77777777" w:rsidR="00DE36F4" w:rsidRDefault="00DE36F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4E87FAE4" w14:textId="6EF30B8F" w:rsidR="00BC222F" w:rsidRPr="004D05BB" w:rsidRDefault="00E47C7A" w:rsidP="009E7A25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4D05BB">
        <w:rPr>
          <w:rFonts w:ascii="Arial" w:eastAsia="Arial" w:hAnsi="Arial" w:cs="Arial"/>
          <w:sz w:val="24"/>
          <w:szCs w:val="24"/>
        </w:rPr>
        <w:t xml:space="preserve">On </w:t>
      </w:r>
      <w:r w:rsidR="001441AA" w:rsidRPr="004D05BB">
        <w:rPr>
          <w:rFonts w:ascii="Arial" w:eastAsia="Arial" w:hAnsi="Arial" w:cs="Arial"/>
          <w:sz w:val="24"/>
          <w:szCs w:val="24"/>
        </w:rPr>
        <w:t>30</w:t>
      </w:r>
      <w:r w:rsidRPr="004D05BB">
        <w:rPr>
          <w:rFonts w:ascii="Arial" w:eastAsia="Arial" w:hAnsi="Arial" w:cs="Arial"/>
          <w:sz w:val="24"/>
          <w:szCs w:val="24"/>
        </w:rPr>
        <w:t xml:space="preserve"> J</w:t>
      </w:r>
      <w:r w:rsidR="001441AA" w:rsidRPr="004D05BB">
        <w:rPr>
          <w:rFonts w:ascii="Arial" w:eastAsia="Arial" w:hAnsi="Arial" w:cs="Arial"/>
          <w:sz w:val="24"/>
          <w:szCs w:val="24"/>
        </w:rPr>
        <w:t>anuary</w:t>
      </w:r>
      <w:r w:rsidRPr="004D05BB">
        <w:rPr>
          <w:rFonts w:ascii="Arial" w:eastAsia="Arial" w:hAnsi="Arial" w:cs="Arial"/>
          <w:sz w:val="24"/>
          <w:szCs w:val="24"/>
        </w:rPr>
        <w:t xml:space="preserve"> 202</w:t>
      </w:r>
      <w:r w:rsidR="001441AA" w:rsidRPr="004D05BB">
        <w:rPr>
          <w:rFonts w:ascii="Arial" w:eastAsia="Arial" w:hAnsi="Arial" w:cs="Arial"/>
          <w:sz w:val="24"/>
          <w:szCs w:val="24"/>
        </w:rPr>
        <w:t>4</w:t>
      </w:r>
      <w:r w:rsidRPr="004D05BB">
        <w:rPr>
          <w:rFonts w:ascii="Arial" w:eastAsia="Arial" w:hAnsi="Arial" w:cs="Arial"/>
          <w:sz w:val="24"/>
          <w:szCs w:val="24"/>
        </w:rPr>
        <w:t>, a</w:t>
      </w:r>
      <w:r w:rsidR="001441AA" w:rsidRPr="004D05BB">
        <w:rPr>
          <w:rFonts w:ascii="Arial" w:eastAsia="Arial" w:hAnsi="Arial" w:cs="Arial"/>
          <w:sz w:val="24"/>
          <w:szCs w:val="24"/>
        </w:rPr>
        <w:t xml:space="preserve">n armed conflict between </w:t>
      </w:r>
      <w:r w:rsidR="00AF3BCE" w:rsidRPr="004D05BB">
        <w:rPr>
          <w:rFonts w:ascii="Arial" w:eastAsia="Arial" w:hAnsi="Arial" w:cs="Arial"/>
          <w:sz w:val="24"/>
          <w:szCs w:val="24"/>
        </w:rPr>
        <w:t xml:space="preserve">police officers of the Philippine National Police (PNP) and members of </w:t>
      </w:r>
      <w:r w:rsidR="00CB7432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="00AF3BCE" w:rsidRPr="004D05BB">
        <w:rPr>
          <w:rFonts w:ascii="Arial" w:eastAsia="Arial" w:hAnsi="Arial" w:cs="Arial"/>
          <w:sz w:val="24"/>
          <w:szCs w:val="24"/>
        </w:rPr>
        <w:t>Ampoan</w:t>
      </w:r>
      <w:proofErr w:type="spellEnd"/>
      <w:r w:rsidR="00AF3BCE" w:rsidRPr="004D05BB">
        <w:rPr>
          <w:rFonts w:ascii="Arial" w:eastAsia="Arial" w:hAnsi="Arial" w:cs="Arial"/>
          <w:sz w:val="24"/>
          <w:szCs w:val="24"/>
        </w:rPr>
        <w:t xml:space="preserve"> </w:t>
      </w:r>
      <w:r w:rsidR="00690EF3">
        <w:rPr>
          <w:rFonts w:ascii="Arial" w:eastAsia="Arial" w:hAnsi="Arial" w:cs="Arial"/>
          <w:sz w:val="24"/>
          <w:szCs w:val="24"/>
        </w:rPr>
        <w:t>c</w:t>
      </w:r>
      <w:r w:rsidR="00AF3BCE" w:rsidRPr="004D05BB">
        <w:rPr>
          <w:rFonts w:ascii="Arial" w:eastAsia="Arial" w:hAnsi="Arial" w:cs="Arial"/>
          <w:sz w:val="24"/>
          <w:szCs w:val="24"/>
        </w:rPr>
        <w:t xml:space="preserve">riminal </w:t>
      </w:r>
      <w:r w:rsidR="00690EF3">
        <w:rPr>
          <w:rFonts w:ascii="Arial" w:eastAsia="Arial" w:hAnsi="Arial" w:cs="Arial"/>
          <w:sz w:val="24"/>
          <w:szCs w:val="24"/>
        </w:rPr>
        <w:t>g</w:t>
      </w:r>
      <w:r w:rsidR="00AF3BCE" w:rsidRPr="004D05BB">
        <w:rPr>
          <w:rFonts w:ascii="Arial" w:eastAsia="Arial" w:hAnsi="Arial" w:cs="Arial"/>
          <w:sz w:val="24"/>
          <w:szCs w:val="24"/>
        </w:rPr>
        <w:t>roup</w:t>
      </w:r>
      <w:r w:rsidR="00771B44" w:rsidRPr="004D05BB">
        <w:rPr>
          <w:rFonts w:ascii="Arial" w:eastAsia="Arial" w:hAnsi="Arial" w:cs="Arial"/>
          <w:sz w:val="24"/>
          <w:szCs w:val="24"/>
        </w:rPr>
        <w:t xml:space="preserve"> </w:t>
      </w:r>
      <w:r w:rsidR="00D221EA" w:rsidRPr="004D05BB">
        <w:rPr>
          <w:rFonts w:ascii="Arial" w:eastAsia="Arial" w:hAnsi="Arial" w:cs="Arial"/>
          <w:sz w:val="24"/>
          <w:szCs w:val="24"/>
        </w:rPr>
        <w:t xml:space="preserve">transpired </w:t>
      </w:r>
      <w:r w:rsidR="00771B44" w:rsidRPr="004D05BB">
        <w:rPr>
          <w:rFonts w:ascii="Arial" w:eastAsia="Arial" w:hAnsi="Arial" w:cs="Arial"/>
          <w:sz w:val="24"/>
          <w:szCs w:val="24"/>
        </w:rPr>
        <w:t xml:space="preserve">in Brgy. </w:t>
      </w:r>
      <w:proofErr w:type="spellStart"/>
      <w:r w:rsidR="00771B44" w:rsidRPr="004D05BB">
        <w:rPr>
          <w:rFonts w:ascii="Arial" w:eastAsia="Arial" w:hAnsi="Arial" w:cs="Arial"/>
          <w:sz w:val="24"/>
          <w:szCs w:val="24"/>
        </w:rPr>
        <w:t>Mahatay</w:t>
      </w:r>
      <w:proofErr w:type="spellEnd"/>
      <w:r w:rsidR="00771B44" w:rsidRPr="004D05BB">
        <w:rPr>
          <w:rFonts w:ascii="Arial" w:eastAsia="Arial" w:hAnsi="Arial" w:cs="Arial"/>
          <w:sz w:val="24"/>
          <w:szCs w:val="24"/>
        </w:rPr>
        <w:t>, Sta. Margarita, Western Samar</w:t>
      </w:r>
      <w:r w:rsidR="00C13227">
        <w:rPr>
          <w:rFonts w:ascii="Arial" w:eastAsia="Arial" w:hAnsi="Arial" w:cs="Arial"/>
          <w:sz w:val="24"/>
          <w:szCs w:val="24"/>
        </w:rPr>
        <w:t xml:space="preserve"> resulting in the displacement of the families and individuals</w:t>
      </w:r>
      <w:r w:rsidR="00D221EA">
        <w:rPr>
          <w:rFonts w:ascii="Arial" w:eastAsia="Arial" w:hAnsi="Arial" w:cs="Arial"/>
          <w:sz w:val="24"/>
          <w:szCs w:val="24"/>
        </w:rPr>
        <w:t xml:space="preserve"> in the area</w:t>
      </w:r>
      <w:r w:rsidR="00C13227">
        <w:rPr>
          <w:rFonts w:ascii="Arial" w:eastAsia="Arial" w:hAnsi="Arial" w:cs="Arial"/>
          <w:sz w:val="24"/>
          <w:szCs w:val="24"/>
        </w:rPr>
        <w:t>.</w:t>
      </w:r>
    </w:p>
    <w:p w14:paraId="094A82BC" w14:textId="77777777" w:rsidR="00BC222F" w:rsidRPr="004D05BB" w:rsidRDefault="00BC222F" w:rsidP="009E7A25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74CF6E93" w14:textId="1EFF932D" w:rsidR="00DE36F4" w:rsidRPr="004D05BB" w:rsidRDefault="001441AA" w:rsidP="009E7A25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4D05BB">
        <w:rPr>
          <w:rFonts w:ascii="Arial" w:eastAsia="Arial" w:hAnsi="Arial" w:cs="Arial"/>
          <w:sz w:val="24"/>
          <w:szCs w:val="24"/>
        </w:rPr>
        <w:t>According to reports, the 1</w:t>
      </w:r>
      <w:r w:rsidRPr="004D05BB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4D05BB">
        <w:rPr>
          <w:rFonts w:ascii="Arial" w:eastAsia="Arial" w:hAnsi="Arial" w:cs="Arial"/>
          <w:sz w:val="24"/>
          <w:szCs w:val="24"/>
        </w:rPr>
        <w:t xml:space="preserve"> Samar Provincial Mobile Force Company (SPMFC) and Regional Mobile Force </w:t>
      </w:r>
      <w:r w:rsidR="00CC312A" w:rsidRPr="004D05BB">
        <w:rPr>
          <w:rFonts w:ascii="Arial" w:eastAsia="Arial" w:hAnsi="Arial" w:cs="Arial"/>
          <w:sz w:val="24"/>
          <w:szCs w:val="24"/>
        </w:rPr>
        <w:t>Battalion</w:t>
      </w:r>
      <w:r w:rsidRPr="004D05BB">
        <w:rPr>
          <w:rFonts w:ascii="Arial" w:eastAsia="Arial" w:hAnsi="Arial" w:cs="Arial"/>
          <w:sz w:val="24"/>
          <w:szCs w:val="24"/>
        </w:rPr>
        <w:t xml:space="preserve"> (RMFB) </w:t>
      </w:r>
      <w:r w:rsidR="0095360E">
        <w:rPr>
          <w:rFonts w:ascii="Arial" w:eastAsia="Arial" w:hAnsi="Arial" w:cs="Arial"/>
          <w:sz w:val="24"/>
          <w:szCs w:val="24"/>
        </w:rPr>
        <w:t xml:space="preserve">of </w:t>
      </w:r>
      <w:r w:rsidR="00B47D35">
        <w:rPr>
          <w:rFonts w:ascii="Arial" w:eastAsia="Arial" w:hAnsi="Arial" w:cs="Arial"/>
          <w:sz w:val="24"/>
          <w:szCs w:val="24"/>
        </w:rPr>
        <w:t xml:space="preserve">PNP </w:t>
      </w:r>
      <w:r w:rsidR="00382FA2">
        <w:rPr>
          <w:rFonts w:ascii="Arial" w:eastAsia="Arial" w:hAnsi="Arial" w:cs="Arial"/>
          <w:sz w:val="24"/>
          <w:szCs w:val="24"/>
        </w:rPr>
        <w:t>agents</w:t>
      </w:r>
      <w:r w:rsidR="00493F1C">
        <w:rPr>
          <w:rFonts w:ascii="Arial" w:eastAsia="Arial" w:hAnsi="Arial" w:cs="Arial"/>
          <w:sz w:val="24"/>
          <w:szCs w:val="24"/>
        </w:rPr>
        <w:t xml:space="preserve"> </w:t>
      </w:r>
      <w:r w:rsidR="00CF75BD">
        <w:rPr>
          <w:rFonts w:ascii="Arial" w:eastAsia="Arial" w:hAnsi="Arial" w:cs="Arial"/>
          <w:sz w:val="24"/>
          <w:szCs w:val="24"/>
        </w:rPr>
        <w:t>proceeded</w:t>
      </w:r>
      <w:r w:rsidRPr="004D05BB">
        <w:rPr>
          <w:rFonts w:ascii="Arial" w:eastAsia="Arial" w:hAnsi="Arial" w:cs="Arial"/>
          <w:sz w:val="24"/>
          <w:szCs w:val="24"/>
        </w:rPr>
        <w:t xml:space="preserve"> to the </w:t>
      </w:r>
      <w:r w:rsidR="00852547">
        <w:rPr>
          <w:rFonts w:ascii="Arial" w:eastAsia="Arial" w:hAnsi="Arial" w:cs="Arial"/>
          <w:sz w:val="24"/>
          <w:szCs w:val="24"/>
        </w:rPr>
        <w:t>area</w:t>
      </w:r>
      <w:r w:rsidR="008746A8">
        <w:rPr>
          <w:rFonts w:ascii="Arial" w:eastAsia="Arial" w:hAnsi="Arial" w:cs="Arial"/>
          <w:sz w:val="24"/>
          <w:szCs w:val="24"/>
        </w:rPr>
        <w:t xml:space="preserve"> of </w:t>
      </w:r>
      <w:r w:rsidR="003E6B50">
        <w:rPr>
          <w:rFonts w:ascii="Arial" w:eastAsia="Arial" w:hAnsi="Arial" w:cs="Arial"/>
          <w:sz w:val="24"/>
          <w:szCs w:val="24"/>
        </w:rPr>
        <w:t xml:space="preserve">the </w:t>
      </w:r>
      <w:r w:rsidR="008746A8">
        <w:rPr>
          <w:rFonts w:ascii="Arial" w:eastAsia="Arial" w:hAnsi="Arial" w:cs="Arial"/>
          <w:sz w:val="24"/>
          <w:szCs w:val="24"/>
        </w:rPr>
        <w:t>incident</w:t>
      </w:r>
      <w:r w:rsidRPr="004D05BB">
        <w:rPr>
          <w:rFonts w:ascii="Arial" w:eastAsia="Arial" w:hAnsi="Arial" w:cs="Arial"/>
          <w:sz w:val="24"/>
          <w:szCs w:val="24"/>
        </w:rPr>
        <w:t xml:space="preserve"> to </w:t>
      </w:r>
      <w:r w:rsidR="00CF75BD">
        <w:rPr>
          <w:rFonts w:ascii="Arial" w:eastAsia="Arial" w:hAnsi="Arial" w:cs="Arial"/>
          <w:sz w:val="24"/>
          <w:szCs w:val="24"/>
        </w:rPr>
        <w:t>execute</w:t>
      </w:r>
      <w:r w:rsidR="00E05D88" w:rsidRPr="004D05BB">
        <w:rPr>
          <w:rFonts w:ascii="Arial" w:eastAsia="Arial" w:hAnsi="Arial" w:cs="Arial"/>
          <w:sz w:val="24"/>
          <w:szCs w:val="24"/>
        </w:rPr>
        <w:t xml:space="preserve"> </w:t>
      </w:r>
      <w:r w:rsidR="00055B1E">
        <w:rPr>
          <w:rFonts w:ascii="Arial" w:eastAsia="Arial" w:hAnsi="Arial" w:cs="Arial"/>
          <w:sz w:val="24"/>
          <w:szCs w:val="24"/>
        </w:rPr>
        <w:t>warrants</w:t>
      </w:r>
      <w:r w:rsidR="00E05D88" w:rsidRPr="004D05BB">
        <w:rPr>
          <w:rFonts w:ascii="Arial" w:eastAsia="Arial" w:hAnsi="Arial" w:cs="Arial"/>
          <w:sz w:val="24"/>
          <w:szCs w:val="24"/>
        </w:rPr>
        <w:t xml:space="preserve"> of arrest</w:t>
      </w:r>
      <w:r w:rsidRPr="004D05BB">
        <w:rPr>
          <w:rFonts w:ascii="Arial" w:eastAsia="Arial" w:hAnsi="Arial" w:cs="Arial"/>
          <w:sz w:val="24"/>
          <w:szCs w:val="24"/>
        </w:rPr>
        <w:t xml:space="preserve"> </w:t>
      </w:r>
      <w:r w:rsidR="00055B1E">
        <w:rPr>
          <w:rFonts w:ascii="Arial" w:eastAsia="Arial" w:hAnsi="Arial" w:cs="Arial"/>
          <w:sz w:val="24"/>
          <w:szCs w:val="24"/>
        </w:rPr>
        <w:t xml:space="preserve">against </w:t>
      </w:r>
      <w:r w:rsidRPr="004D05BB">
        <w:rPr>
          <w:rFonts w:ascii="Arial" w:eastAsia="Arial" w:hAnsi="Arial" w:cs="Arial"/>
          <w:sz w:val="24"/>
          <w:szCs w:val="24"/>
        </w:rPr>
        <w:t xml:space="preserve">the leader and members of the </w:t>
      </w:r>
      <w:r w:rsidR="001A010D" w:rsidRPr="004D05BB">
        <w:rPr>
          <w:rFonts w:ascii="Arial" w:eastAsia="Arial" w:hAnsi="Arial" w:cs="Arial"/>
          <w:sz w:val="24"/>
          <w:szCs w:val="24"/>
        </w:rPr>
        <w:t>aforementioned</w:t>
      </w:r>
      <w:r w:rsidRPr="004D05BB">
        <w:rPr>
          <w:rFonts w:ascii="Arial" w:eastAsia="Arial" w:hAnsi="Arial" w:cs="Arial"/>
          <w:sz w:val="24"/>
          <w:szCs w:val="24"/>
        </w:rPr>
        <w:t xml:space="preserve"> </w:t>
      </w:r>
      <w:r w:rsidR="00742F84">
        <w:rPr>
          <w:rFonts w:ascii="Arial" w:eastAsia="Arial" w:hAnsi="Arial" w:cs="Arial"/>
          <w:sz w:val="24"/>
          <w:szCs w:val="24"/>
        </w:rPr>
        <w:t>armed</w:t>
      </w:r>
      <w:r w:rsidRPr="004D05BB">
        <w:rPr>
          <w:rFonts w:ascii="Arial" w:eastAsia="Arial" w:hAnsi="Arial" w:cs="Arial"/>
          <w:sz w:val="24"/>
          <w:szCs w:val="24"/>
        </w:rPr>
        <w:t xml:space="preserve"> </w:t>
      </w:r>
      <w:r w:rsidR="00742F84">
        <w:rPr>
          <w:rFonts w:ascii="Arial" w:eastAsia="Arial" w:hAnsi="Arial" w:cs="Arial"/>
          <w:sz w:val="24"/>
          <w:szCs w:val="24"/>
        </w:rPr>
        <w:t>g</w:t>
      </w:r>
      <w:r w:rsidRPr="004D05BB">
        <w:rPr>
          <w:rFonts w:ascii="Arial" w:eastAsia="Arial" w:hAnsi="Arial" w:cs="Arial"/>
          <w:sz w:val="24"/>
          <w:szCs w:val="24"/>
        </w:rPr>
        <w:t>roup.</w:t>
      </w:r>
    </w:p>
    <w:p w14:paraId="54D1F37D" w14:textId="4648D483" w:rsidR="00DE36F4" w:rsidRDefault="00E47C7A">
      <w:pPr>
        <w:spacing w:after="0" w:line="240" w:lineRule="auto"/>
        <w:ind w:left="720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 Field Office (FO) </w:t>
      </w:r>
      <w:r w:rsidR="001441AA">
        <w:rPr>
          <w:rFonts w:ascii="Arial" w:eastAsia="Arial" w:hAnsi="Arial" w:cs="Arial"/>
          <w:i/>
          <w:color w:val="0070C0"/>
          <w:sz w:val="16"/>
          <w:szCs w:val="16"/>
        </w:rPr>
        <w:t>VIII</w:t>
      </w:r>
      <w:r w:rsidR="00AC0123">
        <w:rPr>
          <w:rFonts w:ascii="Arial" w:eastAsia="Arial" w:hAnsi="Arial" w:cs="Arial"/>
          <w:i/>
          <w:color w:val="0070C0"/>
          <w:sz w:val="16"/>
          <w:szCs w:val="16"/>
        </w:rPr>
        <w:t xml:space="preserve"> and Philippine News Agency (PNA)</w:t>
      </w:r>
    </w:p>
    <w:p w14:paraId="1576E671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734356" w14:textId="77777777" w:rsidR="00DE36F4" w:rsidRDefault="00E47C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Affected Areas and Population</w:t>
      </w:r>
    </w:p>
    <w:p w14:paraId="19EAFC42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DC246D" w14:textId="1D4EAD5E" w:rsidR="00DE36F4" w:rsidRDefault="00E4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="007914CD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914CD">
        <w:rPr>
          <w:rFonts w:ascii="Arial" w:eastAsia="Arial" w:hAnsi="Arial" w:cs="Arial"/>
          <w:b/>
          <w:color w:val="0070C0"/>
          <w:sz w:val="24"/>
          <w:szCs w:val="24"/>
        </w:rPr>
        <w:t>208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r w:rsidR="007914CD" w:rsidRPr="007914CD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proofErr w:type="spellStart"/>
      <w:r w:rsidR="007914CD" w:rsidRPr="007914CD">
        <w:rPr>
          <w:rFonts w:ascii="Arial" w:eastAsia="Arial" w:hAnsi="Arial" w:cs="Arial"/>
          <w:b/>
          <w:color w:val="0070C0"/>
          <w:sz w:val="24"/>
          <w:szCs w:val="24"/>
        </w:rPr>
        <w:t>Mahatay</w:t>
      </w:r>
      <w:proofErr w:type="spellEnd"/>
      <w:r w:rsidR="007914CD" w:rsidRPr="007914CD">
        <w:rPr>
          <w:rFonts w:ascii="Arial" w:eastAsia="Arial" w:hAnsi="Arial" w:cs="Arial"/>
          <w:b/>
          <w:color w:val="0070C0"/>
          <w:sz w:val="24"/>
          <w:szCs w:val="24"/>
        </w:rPr>
        <w:t>, Sta. Margarita, Western Samar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Pr="009A4819">
        <w:rPr>
          <w:rFonts w:ascii="Arial" w:eastAsia="Arial" w:hAnsi="Arial" w:cs="Arial"/>
          <w:sz w:val="24"/>
          <w:szCs w:val="24"/>
        </w:rPr>
        <w:t>see Annex A).</w:t>
      </w:r>
    </w:p>
    <w:p w14:paraId="266E4922" w14:textId="77777777" w:rsidR="00DE36F4" w:rsidRDefault="00DE36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F86787" w14:textId="77777777" w:rsidR="00DE36F4" w:rsidRDefault="00E47C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Status of Displaced Population </w:t>
      </w:r>
    </w:p>
    <w:p w14:paraId="1DB8EA7A" w14:textId="77777777" w:rsidR="00DE36F4" w:rsidRDefault="00DE36F4" w:rsidP="0092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A07FA33" w14:textId="77777777" w:rsidR="00DE36F4" w:rsidRDefault="00E47C7A" w:rsidP="0092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Outside Evacuation Center</w:t>
      </w:r>
    </w:p>
    <w:p w14:paraId="7F1652FC" w14:textId="540CF368" w:rsidR="00DE36F4" w:rsidRDefault="00E47C7A" w:rsidP="0092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25060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25060">
        <w:rPr>
          <w:rFonts w:ascii="Arial" w:eastAsia="Arial" w:hAnsi="Arial" w:cs="Arial"/>
          <w:b/>
          <w:color w:val="0070C0"/>
          <w:sz w:val="24"/>
          <w:szCs w:val="24"/>
        </w:rPr>
        <w:t>208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temporarily staying with their relatives or friends </w:t>
      </w:r>
      <w:r w:rsidRPr="00F67D93">
        <w:rPr>
          <w:rFonts w:ascii="Arial" w:eastAsia="Arial" w:hAnsi="Arial" w:cs="Arial"/>
          <w:sz w:val="24"/>
          <w:szCs w:val="24"/>
        </w:rPr>
        <w:t xml:space="preserve">(see Annex </w:t>
      </w:r>
      <w:r w:rsidR="00925060" w:rsidRPr="00F67D93">
        <w:rPr>
          <w:rFonts w:ascii="Arial" w:eastAsia="Arial" w:hAnsi="Arial" w:cs="Arial"/>
          <w:sz w:val="24"/>
          <w:szCs w:val="24"/>
        </w:rPr>
        <w:t>B</w:t>
      </w:r>
      <w:r w:rsidRPr="00F67D93">
        <w:rPr>
          <w:rFonts w:ascii="Arial" w:eastAsia="Arial" w:hAnsi="Arial" w:cs="Arial"/>
          <w:sz w:val="24"/>
          <w:szCs w:val="24"/>
        </w:rPr>
        <w:t>).</w:t>
      </w:r>
    </w:p>
    <w:p w14:paraId="5158CA9F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b/>
          <w:i/>
          <w:color w:val="FF0000"/>
          <w:sz w:val="24"/>
          <w:szCs w:val="24"/>
        </w:rPr>
      </w:pPr>
    </w:p>
    <w:p w14:paraId="56620436" w14:textId="77777777" w:rsidR="00DE36F4" w:rsidRDefault="00E47C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Cost of Humanitarian Assistance Provided</w:t>
      </w:r>
    </w:p>
    <w:p w14:paraId="09486C47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6E9F68" w14:textId="038E9FFC" w:rsidR="00DE36F4" w:rsidRPr="002E6990" w:rsidRDefault="00E4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E6990" w:rsidRPr="002E6990">
        <w:rPr>
          <w:rFonts w:ascii="Arial" w:eastAsia="Arial" w:hAnsi="Arial" w:cs="Arial"/>
          <w:b/>
          <w:color w:val="0070C0"/>
          <w:sz w:val="24"/>
          <w:szCs w:val="24"/>
        </w:rPr>
        <w:t xml:space="preserve">81,043.40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</w:t>
      </w:r>
      <w:r w:rsidR="002E6990">
        <w:rPr>
          <w:rFonts w:ascii="Arial" w:eastAsia="Arial" w:hAnsi="Arial" w:cs="Arial"/>
          <w:color w:val="000000"/>
          <w:sz w:val="24"/>
          <w:szCs w:val="24"/>
        </w:rPr>
        <w:t xml:space="preserve">by </w:t>
      </w:r>
      <w:r w:rsidR="002E6990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2E699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the affected families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E6990">
        <w:rPr>
          <w:rFonts w:ascii="Arial" w:eastAsia="Arial" w:hAnsi="Arial" w:cs="Arial"/>
          <w:sz w:val="24"/>
          <w:szCs w:val="24"/>
        </w:rPr>
        <w:t xml:space="preserve">(see Annex </w:t>
      </w:r>
      <w:r w:rsidR="002E6990" w:rsidRPr="002E6990">
        <w:rPr>
          <w:rFonts w:ascii="Arial" w:eastAsia="Arial" w:hAnsi="Arial" w:cs="Arial"/>
          <w:sz w:val="24"/>
          <w:szCs w:val="24"/>
        </w:rPr>
        <w:t>C</w:t>
      </w:r>
      <w:r w:rsidRPr="002E6990">
        <w:rPr>
          <w:rFonts w:ascii="Arial" w:eastAsia="Arial" w:hAnsi="Arial" w:cs="Arial"/>
          <w:sz w:val="24"/>
          <w:szCs w:val="24"/>
        </w:rPr>
        <w:t>).</w:t>
      </w:r>
      <w:bookmarkStart w:id="0" w:name="_GoBack"/>
      <w:bookmarkEnd w:id="0"/>
    </w:p>
    <w:p w14:paraId="40E63ACA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6A2156" w14:textId="77777777" w:rsidR="00DE36F4" w:rsidRDefault="00E47C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Response Actions and Interventions</w:t>
      </w:r>
    </w:p>
    <w:p w14:paraId="118DC4CD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4ACC89" w14:textId="77777777" w:rsidR="00110276" w:rsidRDefault="00110276" w:rsidP="00110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Standby Funds and Prepositioned Relief Stockpile</w:t>
      </w:r>
    </w:p>
    <w:tbl>
      <w:tblPr>
        <w:tblStyle w:val="13"/>
        <w:tblW w:w="8641" w:type="dxa"/>
        <w:tblInd w:w="1075" w:type="dxa"/>
        <w:tblLayout w:type="fixed"/>
        <w:tblLook w:val="0400" w:firstRow="0" w:lastRow="0" w:firstColumn="0" w:lastColumn="0" w:noHBand="0" w:noVBand="1"/>
      </w:tblPr>
      <w:tblGrid>
        <w:gridCol w:w="1511"/>
        <w:gridCol w:w="1419"/>
        <w:gridCol w:w="1111"/>
        <w:gridCol w:w="1524"/>
        <w:gridCol w:w="1526"/>
        <w:gridCol w:w="1550"/>
      </w:tblGrid>
      <w:tr w:rsidR="00110276" w14:paraId="0315008E" w14:textId="77777777" w:rsidTr="00B37368">
        <w:trPr>
          <w:trHeight w:val="20"/>
          <w:tblHeader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39575D0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OFFICE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77D5A8CA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STANDBY FUNDS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AB953BA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STOCKPILE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2CDFAA3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TOTAL STANDBY FUNDS &amp; STOCKPILE</w:t>
            </w:r>
          </w:p>
        </w:tc>
      </w:tr>
      <w:tr w:rsidR="00110276" w14:paraId="0689763B" w14:textId="77777777" w:rsidTr="00B37368">
        <w:trPr>
          <w:trHeight w:val="20"/>
          <w:tblHeader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7C30A0C" w14:textId="77777777" w:rsidR="00110276" w:rsidRDefault="00110276" w:rsidP="00B3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70654C9E" w14:textId="77777777" w:rsidR="00110276" w:rsidRDefault="00110276" w:rsidP="00B3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79394D92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FAMILY FOOD PACKS (FFPs)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2661C3C4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OTHER FOOD AND NON-FOOD ITEMS (FNIs)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0F9FF512" w14:textId="77777777" w:rsidR="00110276" w:rsidRDefault="00110276" w:rsidP="00B3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10276" w14:paraId="756DFC1F" w14:textId="77777777" w:rsidTr="00B37368">
        <w:trPr>
          <w:trHeight w:val="20"/>
          <w:tblHeader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2895BDF" w14:textId="77777777" w:rsidR="00110276" w:rsidRDefault="00110276" w:rsidP="00B3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A965AD2" w14:textId="77777777" w:rsidR="00110276" w:rsidRDefault="00110276" w:rsidP="00B3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0526F7D8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2FECCDF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TOTAL COST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40651B7" w14:textId="77777777" w:rsidR="00110276" w:rsidRDefault="00110276" w:rsidP="00B3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179B6FE" w14:textId="77777777" w:rsidR="00110276" w:rsidRDefault="00110276" w:rsidP="00B3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7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10276" w14:paraId="5190DD4E" w14:textId="77777777" w:rsidTr="00B37368">
        <w:trPr>
          <w:trHeight w:val="20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6E26E7" w14:textId="77777777" w:rsidR="00110276" w:rsidRDefault="00110276" w:rsidP="00B37368">
            <w:pPr>
              <w:ind w:right="5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7D72649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1,270,343,358.70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3E4AB78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452,369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92D244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299,998,283.02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99952F9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740,515,759.59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10CCE2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2,310,857,401.31</w:t>
            </w:r>
          </w:p>
        </w:tc>
      </w:tr>
      <w:tr w:rsidR="00110276" w14:paraId="77ACAEC3" w14:textId="77777777" w:rsidTr="00B37368">
        <w:trPr>
          <w:trHeight w:val="20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E60F" w14:textId="77777777" w:rsidR="00110276" w:rsidRDefault="00110276" w:rsidP="00B37368">
            <w:pPr>
              <w:ind w:righ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DSWD CO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966D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1,265,846,422.10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D0A8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76A7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B24B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C7FA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1,265,846,422.10</w:t>
            </w:r>
          </w:p>
        </w:tc>
      </w:tr>
      <w:tr w:rsidR="00110276" w14:paraId="57CF1BE0" w14:textId="77777777" w:rsidTr="00B37368">
        <w:trPr>
          <w:trHeight w:val="20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733D" w14:textId="77777777" w:rsidR="00110276" w:rsidRDefault="00110276" w:rsidP="00B37368">
            <w:pPr>
              <w:ind w:righ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NRLMB NROC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C381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E542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305,238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F40F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207,921,302.88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D08B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547,738,061.64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5051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755,659,364.52</w:t>
            </w:r>
          </w:p>
        </w:tc>
      </w:tr>
      <w:tr w:rsidR="00110276" w14:paraId="0281CBC6" w14:textId="77777777" w:rsidTr="00B37368">
        <w:trPr>
          <w:trHeight w:val="20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4228" w14:textId="77777777" w:rsidR="00110276" w:rsidRDefault="00110276" w:rsidP="00B37368">
            <w:pPr>
              <w:ind w:righ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NRLMB VDRC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D3F1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B577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12,734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8C2B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8,468,110.00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23DE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132,335,684.32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B1BF" w14:textId="77777777" w:rsidR="00110276" w:rsidRDefault="00110276" w:rsidP="00B37368">
            <w:pPr>
              <w:ind w:right="5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140,803,794.32</w:t>
            </w:r>
          </w:p>
        </w:tc>
      </w:tr>
      <w:tr w:rsidR="00110276" w14:paraId="272B98C2" w14:textId="77777777" w:rsidTr="00B37368">
        <w:trPr>
          <w:trHeight w:val="20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272C" w14:textId="77777777" w:rsidR="00110276" w:rsidRDefault="00110276" w:rsidP="00B37368">
            <w:pPr>
              <w:ind w:righ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DSWD FO VIII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9E54" w14:textId="77777777" w:rsidR="00110276" w:rsidRDefault="00110276" w:rsidP="00B37368">
            <w:pPr>
              <w:ind w:right="57" w:hanging="7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4,496,936.60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B0BD" w14:textId="77777777" w:rsidR="00110276" w:rsidRDefault="00110276" w:rsidP="00B37368">
            <w:pPr>
              <w:ind w:right="57" w:hanging="7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134,397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33A7" w14:textId="77777777" w:rsidR="00110276" w:rsidRDefault="00110276" w:rsidP="00B37368">
            <w:pPr>
              <w:ind w:right="57" w:hanging="7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83,608,870.14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6436" w14:textId="77777777" w:rsidR="00110276" w:rsidRDefault="00110276" w:rsidP="00B37368">
            <w:pPr>
              <w:ind w:right="57" w:hanging="7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60,442,013.63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D97" w14:textId="77777777" w:rsidR="00110276" w:rsidRDefault="00110276" w:rsidP="00B37368">
            <w:pPr>
              <w:ind w:right="57" w:hanging="7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148,547,820.37</w:t>
            </w:r>
          </w:p>
        </w:tc>
      </w:tr>
    </w:tbl>
    <w:p w14:paraId="4E900838" w14:textId="77777777" w:rsidR="00110276" w:rsidRDefault="00110276" w:rsidP="00110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Note: The Inventory Summary is </w:t>
      </w:r>
      <w:r w:rsidRPr="00C16025">
        <w:rPr>
          <w:rFonts w:ascii="Arial" w:eastAsia="Arial" w:hAnsi="Arial" w:cs="Arial"/>
          <w:i/>
          <w:sz w:val="16"/>
          <w:szCs w:val="16"/>
        </w:rPr>
        <w:t xml:space="preserve">as of 02 February 2024, 4PM. </w:t>
      </w:r>
    </w:p>
    <w:p w14:paraId="06981999" w14:textId="77777777" w:rsidR="00110276" w:rsidRDefault="00110276" w:rsidP="001102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0"/>
        <w:jc w:val="right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41AC07A" w14:textId="77777777" w:rsidR="00110276" w:rsidRDefault="00110276" w:rsidP="00110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56BD25" w14:textId="77777777" w:rsidR="00110276" w:rsidRDefault="00110276" w:rsidP="001102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Standby Funds </w:t>
      </w:r>
    </w:p>
    <w:p w14:paraId="57A31074" w14:textId="77777777" w:rsidR="00110276" w:rsidRDefault="00110276" w:rsidP="0011027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₱1.27 billion Quick Response Fund (QRF) at the DSWD Central Office.</w:t>
      </w:r>
    </w:p>
    <w:p w14:paraId="25BB0E14" w14:textId="77777777" w:rsidR="00110276" w:rsidRDefault="00110276" w:rsidP="0011027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₱4.5 million available at DSWD FO VIII.</w:t>
      </w:r>
    </w:p>
    <w:p w14:paraId="1417EA3D" w14:textId="77777777" w:rsidR="00110276" w:rsidRDefault="00110276" w:rsidP="00110276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7481D8E2" w14:textId="77777777" w:rsidR="00110276" w:rsidRDefault="00110276" w:rsidP="001102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Prepositioned FFPs and Other Relief Items</w:t>
      </w:r>
    </w:p>
    <w:p w14:paraId="346A552E" w14:textId="77777777" w:rsidR="00110276" w:rsidRDefault="00110276" w:rsidP="0011027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317,972 FFPs available in Disaster Response Centers; of which, 305,238 FFPs are at the National Resource Operations Center (NROC), Pasay City and 12,734 FFPs are at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Visayas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Disaster Resource Center (VDRC),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Mandaue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City.</w:t>
      </w:r>
    </w:p>
    <w:p w14:paraId="6E52A1F2" w14:textId="77777777" w:rsidR="00110276" w:rsidRDefault="00110276" w:rsidP="0011027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134,397 FFPs available at DSWD FO VIII.</w:t>
      </w:r>
    </w:p>
    <w:p w14:paraId="731BB1C1" w14:textId="77777777" w:rsidR="00110276" w:rsidRDefault="00110276" w:rsidP="0011027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₱740.52 million worth of other FNIs at NROC, VDRC, and DSWD FO VIII warehouses.</w:t>
      </w:r>
    </w:p>
    <w:p w14:paraId="58046F3A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2BDE49" w14:textId="77777777" w:rsidR="00DE36F4" w:rsidRDefault="00E47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Food and Non-food Items (FNIs)</w:t>
      </w:r>
    </w:p>
    <w:p w14:paraId="56FB64AB" w14:textId="77777777" w:rsidR="00DE36F4" w:rsidRDefault="00DE36F4">
      <w:pPr>
        <w:spacing w:after="0" w:line="240" w:lineRule="auto"/>
        <w:ind w:left="990" w:right="57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12"/>
        <w:tblW w:w="8641" w:type="dxa"/>
        <w:tblInd w:w="1075" w:type="dxa"/>
        <w:tblLayout w:type="fixed"/>
        <w:tblLook w:val="0400" w:firstRow="0" w:lastRow="0" w:firstColumn="0" w:lastColumn="0" w:noHBand="0" w:noVBand="1"/>
      </w:tblPr>
      <w:tblGrid>
        <w:gridCol w:w="2381"/>
        <w:gridCol w:w="6260"/>
      </w:tblGrid>
      <w:tr w:rsidR="00DE36F4" w14:paraId="62316DC4" w14:textId="77777777">
        <w:trPr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1DF46" w14:textId="77777777" w:rsidR="00DE36F4" w:rsidRDefault="00E47C7A">
            <w:pP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F2A2A" w14:textId="77777777" w:rsidR="00DE36F4" w:rsidRDefault="00E47C7A">
            <w:pP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ACTIVITIES</w:t>
            </w:r>
          </w:p>
        </w:tc>
      </w:tr>
      <w:tr w:rsidR="00DE36F4" w14:paraId="24D2A923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CD03F" w14:textId="72D286C9" w:rsidR="00DE36F4" w:rsidRDefault="00647FA6">
            <w:pP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 February 2024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DC4C6" w14:textId="630517B6" w:rsidR="00DE36F4" w:rsidRDefault="00647FA6" w:rsidP="00D221EA">
            <w:pPr>
              <w:numPr>
                <w:ilvl w:val="0"/>
                <w:numId w:val="6"/>
              </w:numPr>
              <w:ind w:left="312" w:right="5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DSWD FO VIII</w:t>
            </w:r>
            <w:r w:rsidR="00D221E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221E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together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with </w:t>
            </w:r>
            <w:r w:rsidR="00D221E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its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Municipal Action Team (MAT) and </w:t>
            </w:r>
            <w:r w:rsidR="00D221E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Municipal staff 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officials </w:t>
            </w:r>
            <w:r w:rsidR="00D221E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 the LGU of Sta. Margarita, Western Samar, distributed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FFPs to the affected families and individuals.</w:t>
            </w:r>
          </w:p>
        </w:tc>
      </w:tr>
    </w:tbl>
    <w:p w14:paraId="36CB3F1D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40FEF9" w14:textId="705D04C5" w:rsidR="00DE36F4" w:rsidRDefault="00B03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Other Activities</w:t>
      </w:r>
    </w:p>
    <w:p w14:paraId="0E825C38" w14:textId="77777777" w:rsidR="00DE36F4" w:rsidRDefault="00DE36F4">
      <w:pPr>
        <w:spacing w:after="0" w:line="240" w:lineRule="auto"/>
        <w:ind w:left="990" w:right="57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10"/>
        <w:tblW w:w="8641" w:type="dxa"/>
        <w:tblInd w:w="1075" w:type="dxa"/>
        <w:tblLayout w:type="fixed"/>
        <w:tblLook w:val="0400" w:firstRow="0" w:lastRow="0" w:firstColumn="0" w:lastColumn="0" w:noHBand="0" w:noVBand="1"/>
      </w:tblPr>
      <w:tblGrid>
        <w:gridCol w:w="2381"/>
        <w:gridCol w:w="6260"/>
      </w:tblGrid>
      <w:tr w:rsidR="00DE36F4" w14:paraId="3134D6BF" w14:textId="77777777">
        <w:trPr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887F1" w14:textId="77777777" w:rsidR="00DE36F4" w:rsidRDefault="00E47C7A">
            <w:pP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3F9D9" w14:textId="77777777" w:rsidR="00DE36F4" w:rsidRDefault="00E47C7A">
            <w:pP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ACTIVITIES</w:t>
            </w:r>
          </w:p>
        </w:tc>
      </w:tr>
      <w:tr w:rsidR="00DE36F4" w14:paraId="1F909646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F19DA" w14:textId="6AC667AD" w:rsidR="00DE36F4" w:rsidRDefault="00855430">
            <w:pP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February 2024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FB070" w14:textId="48F8870F" w:rsidR="00DE36F4" w:rsidRDefault="00E65EAB" w:rsidP="003F5F81">
            <w:pPr>
              <w:numPr>
                <w:ilvl w:val="0"/>
                <w:numId w:val="6"/>
              </w:numPr>
              <w:ind w:left="312" w:right="5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DSWD FO VIII closely coordinates</w:t>
            </w:r>
            <w:r w:rsidR="00F403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 the LGU of Sta. Margarita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Western Samar through its Municipal Social Welfare and Development Office (MSWDO)</w:t>
            </w:r>
            <w:r w:rsidR="00F403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Municipal Disaster Risk Reduction and Management Office (MDRRMO) </w:t>
            </w:r>
            <w:r w:rsidR="00F403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significant updates </w:t>
            </w:r>
            <w:r w:rsidR="003F5F8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any </w:t>
            </w:r>
            <w:r w:rsidR="00F403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further </w:t>
            </w:r>
            <w:r w:rsidR="003F5F8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requests for </w:t>
            </w:r>
            <w:r w:rsidR="00F403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relief augmentation. </w:t>
            </w:r>
          </w:p>
        </w:tc>
      </w:tr>
    </w:tbl>
    <w:p w14:paraId="08E1D054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01D246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810" w:hanging="9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ECA445" w14:textId="77777777" w:rsidR="00DE36F4" w:rsidRDefault="00DE36F4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1B66A091" w14:textId="77777777" w:rsidR="00DE36F4" w:rsidRDefault="00E47C7A">
      <w:pPr>
        <w:rPr>
          <w:rFonts w:ascii="Arial" w:eastAsia="Arial" w:hAnsi="Arial" w:cs="Arial"/>
          <w:i/>
          <w:sz w:val="24"/>
          <w:szCs w:val="24"/>
        </w:rPr>
      </w:pPr>
      <w:r>
        <w:br w:type="page"/>
      </w:r>
    </w:p>
    <w:p w14:paraId="4B2AA8AD" w14:textId="77777777" w:rsidR="00DE36F4" w:rsidRDefault="00E47C7A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Annexes</w:t>
      </w:r>
    </w:p>
    <w:p w14:paraId="3E95D20F" w14:textId="77777777" w:rsidR="00DE36F4" w:rsidRDefault="00DE36F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14A861CB" w14:textId="77777777" w:rsidR="00DE36F4" w:rsidRDefault="00E47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Number of Affected Families / Persons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330"/>
        <w:gridCol w:w="4767"/>
        <w:gridCol w:w="1607"/>
        <w:gridCol w:w="1483"/>
        <w:gridCol w:w="1585"/>
      </w:tblGrid>
      <w:tr w:rsidR="00EC4205" w:rsidRPr="00EC4205" w14:paraId="516710CC" w14:textId="77777777" w:rsidTr="00EC4205">
        <w:trPr>
          <w:trHeight w:val="42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9E4B50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BC2868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C4205" w:rsidRPr="00EC4205" w14:paraId="715FE771" w14:textId="77777777" w:rsidTr="00EC4205">
        <w:trPr>
          <w:trHeight w:val="42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31A8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35EAE0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805C22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5B4624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C4205" w:rsidRPr="00EC4205" w14:paraId="7DD99556" w14:textId="77777777" w:rsidTr="00EC4205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AEAC42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133B3E" w14:textId="04255CB1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D47624" w14:textId="4782F98C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51AE6" w14:textId="1BD05B7A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  <w:tr w:rsidR="00EC4205" w:rsidRPr="00EC4205" w14:paraId="7FF2B6EA" w14:textId="77777777" w:rsidTr="00EC4205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42EEB8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CCC0AA" w14:textId="1E71FA67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081FF5" w14:textId="3796636E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EF0EB" w14:textId="560CC3A1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  <w:tr w:rsidR="00EC4205" w:rsidRPr="00EC4205" w14:paraId="626551E5" w14:textId="77777777" w:rsidTr="00EC4205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02E63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05DB7" w14:textId="7063755F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7EF79" w14:textId="72E90432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AE56C" w14:textId="34BF24CC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  <w:tr w:rsidR="00EC4205" w:rsidRPr="00EC4205" w14:paraId="5BCD45C0" w14:textId="77777777" w:rsidTr="00EC4205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3ACB5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98E1" w14:textId="77777777" w:rsidR="00EC4205" w:rsidRPr="00EC4205" w:rsidRDefault="00EC4205" w:rsidP="00EC420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Margarita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FCFA" w14:textId="4D07FB67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EBCB" w14:textId="4998A6BD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B705" w14:textId="6A085D8D" w:rsidR="00EC4205" w:rsidRPr="00EC4205" w:rsidRDefault="00EC4205" w:rsidP="00EC420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C42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</w:tbl>
    <w:p w14:paraId="5FEAAE58" w14:textId="77777777" w:rsidR="00DE36F4" w:rsidRDefault="00E47C7A">
      <w:pPr>
        <w:spacing w:after="0" w:line="240" w:lineRule="auto"/>
        <w:rPr>
          <w:rFonts w:ascii="Arial" w:eastAsia="Arial" w:hAnsi="Arial" w:cs="Arial"/>
          <w:i/>
          <w:color w:val="222222"/>
          <w:sz w:val="16"/>
          <w:szCs w:val="16"/>
          <w:highlight w:val="white"/>
        </w:rPr>
      </w:pPr>
      <w:r>
        <w:rPr>
          <w:rFonts w:ascii="Arial" w:eastAsia="Arial" w:hAnsi="Arial" w:cs="Arial"/>
          <w:i/>
          <w:color w:val="222222"/>
          <w:sz w:val="16"/>
          <w:szCs w:val="16"/>
          <w:highlight w:val="white"/>
        </w:rPr>
        <w:t>Note: Ongoing assessment and validation being conducted.</w:t>
      </w:r>
    </w:p>
    <w:p w14:paraId="492F5670" w14:textId="35A045FB" w:rsidR="00DE36F4" w:rsidRDefault="00E47C7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 FO </w:t>
      </w:r>
      <w:r w:rsidR="001441AA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2B00C55E" w14:textId="77777777" w:rsidR="009B04AA" w:rsidRDefault="009B04AA" w:rsidP="009B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A05F158" w14:textId="0F50D4CF" w:rsidR="00DE36F4" w:rsidRDefault="00E47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Number of Displaced Families / Persons Outside Evacuation Center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"/>
        <w:gridCol w:w="4270"/>
        <w:gridCol w:w="1279"/>
        <w:gridCol w:w="1279"/>
        <w:gridCol w:w="1279"/>
        <w:gridCol w:w="1277"/>
      </w:tblGrid>
      <w:tr w:rsidR="002E6339" w:rsidRPr="002E6339" w14:paraId="4D20A2CF" w14:textId="77777777" w:rsidTr="002E6339">
        <w:trPr>
          <w:trHeight w:val="20"/>
        </w:trPr>
        <w:tc>
          <w:tcPr>
            <w:tcW w:w="23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4949F8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A77AD8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2E6339" w:rsidRPr="002E6339" w14:paraId="0A01ED62" w14:textId="77777777" w:rsidTr="002E6339">
        <w:trPr>
          <w:trHeight w:val="20"/>
        </w:trPr>
        <w:tc>
          <w:tcPr>
            <w:tcW w:w="23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C03A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6579E5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2E6339" w:rsidRPr="002E6339" w14:paraId="1BE326FF" w14:textId="77777777" w:rsidTr="002E6339">
        <w:trPr>
          <w:trHeight w:val="20"/>
        </w:trPr>
        <w:tc>
          <w:tcPr>
            <w:tcW w:w="23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7C02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E1410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C46F00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2E6339" w:rsidRPr="002E6339" w14:paraId="1DD5A9C3" w14:textId="77777777" w:rsidTr="002E6339">
        <w:trPr>
          <w:trHeight w:val="20"/>
        </w:trPr>
        <w:tc>
          <w:tcPr>
            <w:tcW w:w="23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CFDD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423937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9A40E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37AC50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A6EB2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2E6339" w:rsidRPr="002E6339" w14:paraId="062D9838" w14:textId="77777777" w:rsidTr="002E6339">
        <w:trPr>
          <w:trHeight w:val="20"/>
        </w:trPr>
        <w:tc>
          <w:tcPr>
            <w:tcW w:w="2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157B9C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3B968" w14:textId="43E1AEB8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CAB4B" w14:textId="372966DB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40DEC" w14:textId="3A6BC0AB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3700FD" w14:textId="59D48007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  <w:tr w:rsidR="002E6339" w:rsidRPr="002E6339" w14:paraId="40457626" w14:textId="77777777" w:rsidTr="002E6339">
        <w:trPr>
          <w:trHeight w:val="20"/>
        </w:trPr>
        <w:tc>
          <w:tcPr>
            <w:tcW w:w="2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355990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9AC25" w14:textId="6D6D43B0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E088C" w14:textId="61A75FFF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A9522" w14:textId="2FF19CFC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834FC" w14:textId="66B80323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  <w:tr w:rsidR="002E6339" w:rsidRPr="002E6339" w14:paraId="46905787" w14:textId="77777777" w:rsidTr="002E6339">
        <w:trPr>
          <w:trHeight w:val="20"/>
        </w:trPr>
        <w:tc>
          <w:tcPr>
            <w:tcW w:w="2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25809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82F00" w14:textId="61DE7F40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01C1F" w14:textId="26ED1FF0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39452" w14:textId="7A1436E7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DFD6F" w14:textId="1D96B71D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  <w:tr w:rsidR="002E6339" w:rsidRPr="002E6339" w14:paraId="24DB7FD9" w14:textId="77777777" w:rsidTr="002E633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AA578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B4C0" w14:textId="77777777" w:rsidR="002E6339" w:rsidRPr="002E6339" w:rsidRDefault="002E6339" w:rsidP="002E633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Margarita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0085" w14:textId="0320BCA0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AED4" w14:textId="4D2894AC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E3EB" w14:textId="27F94D3C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6D3C" w14:textId="10505486" w:rsidR="002E6339" w:rsidRPr="002E6339" w:rsidRDefault="002E6339" w:rsidP="002E633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E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208</w:t>
            </w:r>
          </w:p>
        </w:tc>
      </w:tr>
    </w:tbl>
    <w:p w14:paraId="41DA724C" w14:textId="77777777" w:rsidR="00DE36F4" w:rsidRDefault="00E4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Note: </w:t>
      </w: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Ongoing assessment and validation being conducted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14:paraId="745FB109" w14:textId="770B4D6E" w:rsidR="00DE36F4" w:rsidRDefault="00E4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 FO </w:t>
      </w:r>
      <w:r w:rsidR="001441AA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6AC8655E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4E5BEBC" w14:textId="77777777" w:rsidR="00DE36F4" w:rsidRDefault="00E47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Cost of Assistance Provided to Affected Families / 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"/>
        <w:gridCol w:w="3001"/>
        <w:gridCol w:w="1268"/>
        <w:gridCol w:w="954"/>
        <w:gridCol w:w="967"/>
        <w:gridCol w:w="1212"/>
        <w:gridCol w:w="2006"/>
      </w:tblGrid>
      <w:tr w:rsidR="00B52892" w:rsidRPr="00B52892" w14:paraId="022F4547" w14:textId="77777777" w:rsidTr="00B52892">
        <w:trPr>
          <w:trHeight w:val="42"/>
        </w:trPr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7C4F7" w14:textId="77777777" w:rsidR="00B52892" w:rsidRPr="00B52892" w:rsidRDefault="00B52892" w:rsidP="00B528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2C0E59" w14:textId="7777777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B52892" w:rsidRPr="00B52892" w14:paraId="0131D489" w14:textId="77777777" w:rsidTr="00B52892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D4C7" w14:textId="77777777" w:rsidR="00B52892" w:rsidRPr="00B52892" w:rsidRDefault="00B52892" w:rsidP="00B528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3BCA5B" w14:textId="7777777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CEECD5" w14:textId="7777777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60972D" w14:textId="7777777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944D20" w14:textId="755F7980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5F8BCF" w14:textId="7777777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B52892" w:rsidRPr="00B52892" w14:paraId="70189CA2" w14:textId="77777777" w:rsidTr="00B52892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594554" w14:textId="77777777" w:rsidR="00B52892" w:rsidRPr="00B52892" w:rsidRDefault="00B52892" w:rsidP="00B528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C56E3F" w14:textId="5E03B41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2352B6" w14:textId="3505B4F9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28D234" w14:textId="11B80D9D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4F6AC" w14:textId="558DBF6F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7FFF9" w14:textId="2A22CD0D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</w:tr>
      <w:tr w:rsidR="00B52892" w:rsidRPr="00B52892" w14:paraId="65D4CD3A" w14:textId="77777777" w:rsidTr="00B52892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3DEFAE" w14:textId="77777777" w:rsidR="00B52892" w:rsidRPr="00B52892" w:rsidRDefault="00B52892" w:rsidP="00B528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20D7BB" w14:textId="57772506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0DB9B" w14:textId="38BC8F3B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58566" w14:textId="18EA10A0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B8DD2" w14:textId="3B55D998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4C7D1F" w14:textId="1F3272BF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</w:tr>
      <w:tr w:rsidR="00B52892" w:rsidRPr="00B52892" w14:paraId="364E0412" w14:textId="77777777" w:rsidTr="00B52892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2257B" w14:textId="77777777" w:rsidR="00B52892" w:rsidRPr="00B52892" w:rsidRDefault="00B52892" w:rsidP="00B528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49961" w14:textId="661C7C3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CF2D5" w14:textId="4C53F383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CB1FE" w14:textId="7C745387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5243C" w14:textId="69C9252B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BC5CC" w14:textId="7A001B56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</w:tr>
      <w:tr w:rsidR="00B52892" w:rsidRPr="00B52892" w14:paraId="6B95CE7C" w14:textId="77777777" w:rsidTr="00B5289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EF762" w14:textId="77777777" w:rsidR="00B52892" w:rsidRPr="00B52892" w:rsidRDefault="00B52892" w:rsidP="00B528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6A6D" w14:textId="77777777" w:rsidR="00B52892" w:rsidRPr="00B52892" w:rsidRDefault="00B52892" w:rsidP="00B528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Margarita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D327" w14:textId="4C83C506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6D3C" w14:textId="4F3C8C74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907A" w14:textId="533FA28A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97ED" w14:textId="27E30925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1F77" w14:textId="5018EFEF" w:rsidR="00B52892" w:rsidRPr="00B52892" w:rsidRDefault="00B52892" w:rsidP="00D221EA">
            <w:pPr>
              <w:spacing w:after="0" w:line="240" w:lineRule="auto"/>
              <w:ind w:left="105"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28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81,043.40</w:t>
            </w:r>
          </w:p>
        </w:tc>
      </w:tr>
    </w:tbl>
    <w:p w14:paraId="37A80E2D" w14:textId="1C85B1D2" w:rsidR="00DE36F4" w:rsidRDefault="00E47C7A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  <w:highlight w:val="white"/>
        </w:rPr>
      </w:pPr>
      <w:r>
        <w:rPr>
          <w:rFonts w:ascii="Arial" w:eastAsia="Arial" w:hAnsi="Arial" w:cs="Arial"/>
          <w:i/>
          <w:sz w:val="16"/>
          <w:szCs w:val="16"/>
          <w:highlight w:val="white"/>
        </w:rPr>
        <w:t xml:space="preserve">Note: The reflected DSWD assistance covers the cost of food and non-food items (FNIs) provided to the affected </w:t>
      </w:r>
      <w:r w:rsidR="00EF4D5C">
        <w:rPr>
          <w:rFonts w:ascii="Arial" w:eastAsia="Arial" w:hAnsi="Arial" w:cs="Arial"/>
          <w:i/>
          <w:sz w:val="16"/>
          <w:szCs w:val="16"/>
          <w:highlight w:val="white"/>
        </w:rPr>
        <w:t>families/individuals</w:t>
      </w:r>
      <w:r>
        <w:rPr>
          <w:rFonts w:ascii="Arial" w:eastAsia="Arial" w:hAnsi="Arial" w:cs="Arial"/>
          <w:i/>
          <w:sz w:val="16"/>
          <w:szCs w:val="16"/>
          <w:highlight w:val="white"/>
        </w:rPr>
        <w:t>.</w:t>
      </w:r>
    </w:p>
    <w:p w14:paraId="45349503" w14:textId="670179F6" w:rsidR="00DE36F4" w:rsidRDefault="00E4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 FO </w:t>
      </w:r>
      <w:r w:rsidR="001441AA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2D74A6E1" w14:textId="16641510" w:rsidR="00DE36F4" w:rsidRDefault="00DE36F4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0"/>
        </w:rPr>
      </w:pPr>
      <w:bookmarkStart w:id="2" w:name="_heading=h.30j0zll" w:colFirst="0" w:colLast="0"/>
      <w:bookmarkEnd w:id="2"/>
    </w:p>
    <w:p w14:paraId="1888D5DD" w14:textId="77777777" w:rsidR="00B87B64" w:rsidRPr="00B87B64" w:rsidRDefault="00B87B64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0"/>
        </w:rPr>
      </w:pPr>
    </w:p>
    <w:p w14:paraId="6F32D72F" w14:textId="77777777" w:rsidR="00DE36F4" w:rsidRDefault="00E47C7A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0C7610ED" w14:textId="2011E622" w:rsidR="00DE36F4" w:rsidRDefault="00E47C7A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Management, Information, and Communication (DROMIC) Division of DSWD-DRMB is closely </w:t>
      </w:r>
      <w:r w:rsidRPr="003C52CE">
        <w:rPr>
          <w:rFonts w:ascii="Arial" w:eastAsia="Arial" w:hAnsi="Arial" w:cs="Arial"/>
          <w:i/>
          <w:sz w:val="20"/>
          <w:szCs w:val="20"/>
          <w:highlight w:val="white"/>
        </w:rPr>
        <w:t xml:space="preserve">coordinating with DSWD FO </w:t>
      </w:r>
      <w:r w:rsidR="001441AA" w:rsidRPr="003C52CE">
        <w:rPr>
          <w:rFonts w:ascii="Arial" w:eastAsia="Arial" w:hAnsi="Arial" w:cs="Arial"/>
          <w:i/>
          <w:sz w:val="20"/>
          <w:szCs w:val="20"/>
          <w:highlight w:val="white"/>
        </w:rPr>
        <w:t>VIII</w:t>
      </w:r>
      <w:r w:rsidRPr="003C52CE">
        <w:rPr>
          <w:rFonts w:ascii="Arial" w:eastAsia="Arial" w:hAnsi="Arial" w:cs="Arial"/>
          <w:i/>
          <w:sz w:val="20"/>
          <w:szCs w:val="20"/>
          <w:highlight w:val="white"/>
        </w:rPr>
        <w:t xml:space="preserve"> for significant disaster response updates and assistance provided.</w:t>
      </w:r>
    </w:p>
    <w:p w14:paraId="28740879" w14:textId="68BA05B4" w:rsidR="00DE36F4" w:rsidRDefault="00DE36F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0"/>
          <w:highlight w:val="white"/>
        </w:rPr>
      </w:pPr>
    </w:p>
    <w:p w14:paraId="4379B277" w14:textId="77777777" w:rsidR="00B87B64" w:rsidRPr="00B87B64" w:rsidRDefault="00B87B6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0"/>
          <w:highlight w:val="white"/>
        </w:rPr>
      </w:pPr>
    </w:p>
    <w:tbl>
      <w:tblPr>
        <w:tblStyle w:val="1"/>
        <w:tblW w:w="97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8"/>
        <w:gridCol w:w="4869"/>
      </w:tblGrid>
      <w:tr w:rsidR="00110276" w:rsidRPr="00F6399F" w14:paraId="5307448A" w14:textId="77777777">
        <w:tc>
          <w:tcPr>
            <w:tcW w:w="4868" w:type="dxa"/>
          </w:tcPr>
          <w:p w14:paraId="0675E287" w14:textId="77777777" w:rsidR="00DE36F4" w:rsidRPr="00F6399F" w:rsidRDefault="00E4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6399F">
              <w:rPr>
                <w:rFonts w:ascii="Arial" w:eastAsia="Arial" w:hAnsi="Arial" w:cs="Arial"/>
                <w:sz w:val="24"/>
                <w:szCs w:val="24"/>
              </w:rPr>
              <w:t>Prepared by:</w:t>
            </w:r>
          </w:p>
          <w:p w14:paraId="737FFCFA" w14:textId="77777777" w:rsidR="00DE36F4" w:rsidRPr="00F6399F" w:rsidRDefault="00DE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18FBE8" w14:textId="2A30C412" w:rsidR="00DE36F4" w:rsidRPr="00F6399F" w:rsidRDefault="00C84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6399F">
              <w:rPr>
                <w:rFonts w:ascii="Arial" w:eastAsia="Arial" w:hAnsi="Arial" w:cs="Arial"/>
                <w:b/>
                <w:sz w:val="24"/>
                <w:szCs w:val="24"/>
              </w:rPr>
              <w:t>EZEQUIEL S. MACALANDA</w:t>
            </w:r>
          </w:p>
        </w:tc>
        <w:tc>
          <w:tcPr>
            <w:tcW w:w="4869" w:type="dxa"/>
          </w:tcPr>
          <w:p w14:paraId="2984BB24" w14:textId="7ADEDC28" w:rsidR="00DE36F4" w:rsidRPr="00F6399F" w:rsidRDefault="005A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6399F">
              <w:rPr>
                <w:rFonts w:ascii="Arial" w:eastAsia="Arial" w:hAnsi="Arial" w:cs="Arial"/>
                <w:sz w:val="24"/>
                <w:szCs w:val="24"/>
              </w:rPr>
              <w:t>Released</w:t>
            </w:r>
            <w:r w:rsidR="00E47C7A" w:rsidRPr="00F6399F">
              <w:rPr>
                <w:rFonts w:ascii="Arial" w:eastAsia="Arial" w:hAnsi="Arial" w:cs="Arial"/>
                <w:sz w:val="24"/>
                <w:szCs w:val="24"/>
              </w:rPr>
              <w:t xml:space="preserve"> by:</w:t>
            </w:r>
          </w:p>
          <w:p w14:paraId="640C0EF8" w14:textId="77777777" w:rsidR="00DE36F4" w:rsidRPr="00F6399F" w:rsidRDefault="00DE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A73774" w14:textId="1055CA55" w:rsidR="00DE36F4" w:rsidRPr="00F6399F" w:rsidRDefault="00C84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6399F">
              <w:rPr>
                <w:rFonts w:ascii="Arial" w:eastAsia="Arial" w:hAnsi="Arial" w:cs="Arial"/>
                <w:b/>
                <w:sz w:val="24"/>
                <w:szCs w:val="24"/>
              </w:rPr>
              <w:t>MARC LEO L. BUTAC</w:t>
            </w:r>
          </w:p>
        </w:tc>
      </w:tr>
    </w:tbl>
    <w:p w14:paraId="2986E060" w14:textId="77777777" w:rsidR="00DE36F4" w:rsidRDefault="00DE3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DE36F4">
      <w:headerReference w:type="default" r:id="rId8"/>
      <w:footerReference w:type="default" r:id="rId9"/>
      <w:pgSz w:w="11907" w:h="16839"/>
      <w:pgMar w:top="36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1DE3" w14:textId="77777777" w:rsidR="006A5E9C" w:rsidRDefault="006A5E9C">
      <w:pPr>
        <w:spacing w:after="0" w:line="240" w:lineRule="auto"/>
      </w:pPr>
      <w:r>
        <w:separator/>
      </w:r>
    </w:p>
  </w:endnote>
  <w:endnote w:type="continuationSeparator" w:id="0">
    <w:p w14:paraId="6D5BA046" w14:textId="77777777" w:rsidR="006A5E9C" w:rsidRDefault="006A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21EF" w14:textId="77777777" w:rsidR="00DE36F4" w:rsidRDefault="00DE36F4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  <w:p w14:paraId="343581FA" w14:textId="5ABF7DF5" w:rsidR="00DE36F4" w:rsidRPr="0011280B" w:rsidRDefault="00112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RPr="0011280B">
      <w:rPr>
        <w:sz w:val="16"/>
        <w:szCs w:val="16"/>
      </w:rPr>
      <w:t xml:space="preserve">DSWD DROMIC Report #1 on the Armed Conflict in Brgy. </w:t>
    </w:r>
    <w:proofErr w:type="spellStart"/>
    <w:r w:rsidRPr="0011280B">
      <w:rPr>
        <w:sz w:val="16"/>
        <w:szCs w:val="16"/>
      </w:rPr>
      <w:t>Mahayag</w:t>
    </w:r>
    <w:proofErr w:type="spellEnd"/>
    <w:r w:rsidRPr="0011280B">
      <w:rPr>
        <w:sz w:val="16"/>
        <w:szCs w:val="16"/>
      </w:rPr>
      <w:t xml:space="preserve">, Santa Margarita, Western Samar as of </w:t>
    </w:r>
    <w:r w:rsidR="00E15884">
      <w:rPr>
        <w:sz w:val="16"/>
        <w:szCs w:val="16"/>
      </w:rPr>
      <w:t xml:space="preserve">02 </w:t>
    </w:r>
    <w:r w:rsidRPr="0011280B">
      <w:rPr>
        <w:sz w:val="16"/>
        <w:szCs w:val="16"/>
      </w:rPr>
      <w:t>February 2024, 6PM</w:t>
    </w:r>
    <w:r w:rsidR="00D221EA">
      <w:rPr>
        <w:sz w:val="16"/>
        <w:szCs w:val="16"/>
      </w:rPr>
      <w:t xml:space="preserve"> </w:t>
    </w:r>
    <w:r w:rsidR="00E47C7A" w:rsidRPr="0011280B">
      <w:rPr>
        <w:sz w:val="20"/>
        <w:szCs w:val="20"/>
      </w:rPr>
      <w:t xml:space="preserve">| </w:t>
    </w:r>
    <w:r w:rsidR="00E47C7A" w:rsidRPr="0011280B">
      <w:rPr>
        <w:sz w:val="16"/>
        <w:szCs w:val="16"/>
      </w:rPr>
      <w:t xml:space="preserve">Page </w:t>
    </w:r>
    <w:r w:rsidR="00E47C7A" w:rsidRPr="0011280B">
      <w:rPr>
        <w:b/>
        <w:sz w:val="16"/>
        <w:szCs w:val="16"/>
      </w:rPr>
      <w:fldChar w:fldCharType="begin"/>
    </w:r>
    <w:r w:rsidR="00E47C7A" w:rsidRPr="0011280B">
      <w:rPr>
        <w:b/>
        <w:sz w:val="16"/>
        <w:szCs w:val="16"/>
      </w:rPr>
      <w:instrText>PAGE</w:instrText>
    </w:r>
    <w:r w:rsidR="00E47C7A" w:rsidRPr="0011280B">
      <w:rPr>
        <w:b/>
        <w:sz w:val="16"/>
        <w:szCs w:val="16"/>
      </w:rPr>
      <w:fldChar w:fldCharType="separate"/>
    </w:r>
    <w:r w:rsidR="00E15884">
      <w:rPr>
        <w:b/>
        <w:noProof/>
        <w:sz w:val="16"/>
        <w:szCs w:val="16"/>
      </w:rPr>
      <w:t>3</w:t>
    </w:r>
    <w:r w:rsidR="00E47C7A" w:rsidRPr="0011280B">
      <w:rPr>
        <w:b/>
        <w:sz w:val="16"/>
        <w:szCs w:val="16"/>
      </w:rPr>
      <w:fldChar w:fldCharType="end"/>
    </w:r>
    <w:r w:rsidR="00E47C7A" w:rsidRPr="0011280B">
      <w:rPr>
        <w:sz w:val="16"/>
        <w:szCs w:val="16"/>
      </w:rPr>
      <w:t xml:space="preserve"> of </w:t>
    </w:r>
    <w:r w:rsidR="00E47C7A" w:rsidRPr="0011280B">
      <w:rPr>
        <w:b/>
        <w:sz w:val="16"/>
        <w:szCs w:val="16"/>
      </w:rPr>
      <w:fldChar w:fldCharType="begin"/>
    </w:r>
    <w:r w:rsidR="00E47C7A" w:rsidRPr="0011280B">
      <w:rPr>
        <w:b/>
        <w:sz w:val="16"/>
        <w:szCs w:val="16"/>
      </w:rPr>
      <w:instrText>NUMPAGES</w:instrText>
    </w:r>
    <w:r w:rsidR="00E47C7A" w:rsidRPr="0011280B">
      <w:rPr>
        <w:b/>
        <w:sz w:val="16"/>
        <w:szCs w:val="16"/>
      </w:rPr>
      <w:fldChar w:fldCharType="separate"/>
    </w:r>
    <w:r w:rsidR="00E15884">
      <w:rPr>
        <w:b/>
        <w:noProof/>
        <w:sz w:val="16"/>
        <w:szCs w:val="16"/>
      </w:rPr>
      <w:t>3</w:t>
    </w:r>
    <w:r w:rsidR="00E47C7A" w:rsidRPr="0011280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13E5" w14:textId="77777777" w:rsidR="006A5E9C" w:rsidRDefault="006A5E9C">
      <w:pPr>
        <w:spacing w:after="0" w:line="240" w:lineRule="auto"/>
      </w:pPr>
      <w:r>
        <w:separator/>
      </w:r>
    </w:p>
  </w:footnote>
  <w:footnote w:type="continuationSeparator" w:id="0">
    <w:p w14:paraId="3B4E9F30" w14:textId="77777777" w:rsidR="006A5E9C" w:rsidRDefault="006A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8775" w14:textId="77777777" w:rsidR="00DE36F4" w:rsidRDefault="00E47C7A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7462BBED" wp14:editId="0AD06BE3">
          <wp:simplePos x="0" y="0"/>
          <wp:positionH relativeFrom="column">
            <wp:posOffset>2103120</wp:posOffset>
          </wp:positionH>
          <wp:positionV relativeFrom="paragraph">
            <wp:posOffset>87630</wp:posOffset>
          </wp:positionV>
          <wp:extent cx="749300" cy="786130"/>
          <wp:effectExtent l="0" t="0" r="0" b="0"/>
          <wp:wrapNone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78C78F72" wp14:editId="1AD6FA28">
          <wp:simplePos x="0" y="0"/>
          <wp:positionH relativeFrom="column">
            <wp:posOffset>4029075</wp:posOffset>
          </wp:positionH>
          <wp:positionV relativeFrom="paragraph">
            <wp:posOffset>109854</wp:posOffset>
          </wp:positionV>
          <wp:extent cx="2231390" cy="690245"/>
          <wp:effectExtent l="0" t="0" r="0" b="0"/>
          <wp:wrapSquare wrapText="bothSides" distT="0" distB="0" distL="114300" distR="11430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658"/>
                  <a:stretch>
                    <a:fillRect/>
                  </a:stretch>
                </pic:blipFill>
                <pic:spPr>
                  <a:xfrm>
                    <a:off x="0" y="0"/>
                    <a:ext cx="2231390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65663A" w14:textId="77777777" w:rsidR="00DE36F4" w:rsidRDefault="00E47C7A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4447A02E" wp14:editId="0AD8E1C7">
          <wp:simplePos x="0" y="0"/>
          <wp:positionH relativeFrom="column">
            <wp:posOffset>-12696</wp:posOffset>
          </wp:positionH>
          <wp:positionV relativeFrom="paragraph">
            <wp:posOffset>34925</wp:posOffset>
          </wp:positionV>
          <wp:extent cx="1944000" cy="598238"/>
          <wp:effectExtent l="0" t="0" r="0" b="0"/>
          <wp:wrapSquare wrapText="bothSides" distT="0" distB="0" distL="114300" distR="114300"/>
          <wp:docPr id="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000" cy="59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0F86EE" w14:textId="77777777" w:rsidR="00DE36F4" w:rsidRDefault="00DE36F4">
    <w:pPr>
      <w:tabs>
        <w:tab w:val="center" w:pos="4680"/>
        <w:tab w:val="right" w:pos="9360"/>
      </w:tabs>
      <w:spacing w:after="0" w:line="240" w:lineRule="auto"/>
    </w:pPr>
  </w:p>
  <w:p w14:paraId="60B8135A" w14:textId="77777777" w:rsidR="00DE36F4" w:rsidRDefault="00DE36F4">
    <w:pPr>
      <w:tabs>
        <w:tab w:val="center" w:pos="4680"/>
        <w:tab w:val="right" w:pos="9360"/>
      </w:tabs>
      <w:spacing w:after="0" w:line="240" w:lineRule="auto"/>
    </w:pPr>
  </w:p>
  <w:p w14:paraId="10CB5B0F" w14:textId="77777777" w:rsidR="00DE36F4" w:rsidRDefault="00DE36F4">
    <w:pPr>
      <w:tabs>
        <w:tab w:val="center" w:pos="4680"/>
        <w:tab w:val="right" w:pos="9360"/>
      </w:tabs>
      <w:spacing w:after="0" w:line="240" w:lineRule="auto"/>
    </w:pPr>
  </w:p>
  <w:p w14:paraId="64710F7C" w14:textId="77777777" w:rsidR="00DE36F4" w:rsidRDefault="00DE36F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606BFB5C" w14:textId="77777777" w:rsidR="00DE36F4" w:rsidRDefault="00DE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EE9"/>
    <w:multiLevelType w:val="multilevel"/>
    <w:tmpl w:val="B1523DEA"/>
    <w:lvl w:ilvl="0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86174"/>
    <w:multiLevelType w:val="multilevel"/>
    <w:tmpl w:val="D70C685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231BB"/>
    <w:multiLevelType w:val="multilevel"/>
    <w:tmpl w:val="13EEEF3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D5CC5"/>
    <w:multiLevelType w:val="multilevel"/>
    <w:tmpl w:val="7BD4E1B2"/>
    <w:lvl w:ilvl="0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A5F6C"/>
    <w:multiLevelType w:val="multilevel"/>
    <w:tmpl w:val="9482B0D2"/>
    <w:lvl w:ilvl="0">
      <w:start w:val="1"/>
      <w:numFmt w:val="upperLetter"/>
      <w:suff w:val="space"/>
      <w:lvlText w:val="Annex %1.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rFonts w:hint="default"/>
      </w:rPr>
    </w:lvl>
  </w:abstractNum>
  <w:abstractNum w:abstractNumId="5" w15:restartNumberingAfterBreak="0">
    <w:nsid w:val="6D0B1904"/>
    <w:multiLevelType w:val="multilevel"/>
    <w:tmpl w:val="D362F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D033E2B"/>
    <w:multiLevelType w:val="multilevel"/>
    <w:tmpl w:val="54D293F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F4"/>
    <w:rsid w:val="00021841"/>
    <w:rsid w:val="00055B1E"/>
    <w:rsid w:val="00085E62"/>
    <w:rsid w:val="00110276"/>
    <w:rsid w:val="0011280B"/>
    <w:rsid w:val="001441AA"/>
    <w:rsid w:val="00164145"/>
    <w:rsid w:val="00172863"/>
    <w:rsid w:val="00191C20"/>
    <w:rsid w:val="001A010D"/>
    <w:rsid w:val="001D357A"/>
    <w:rsid w:val="002A1FC4"/>
    <w:rsid w:val="002B615C"/>
    <w:rsid w:val="002E236B"/>
    <w:rsid w:val="002E6339"/>
    <w:rsid w:val="002E6990"/>
    <w:rsid w:val="002F4EAB"/>
    <w:rsid w:val="00382FA2"/>
    <w:rsid w:val="003C449D"/>
    <w:rsid w:val="003C52CE"/>
    <w:rsid w:val="003E6B50"/>
    <w:rsid w:val="003F5F81"/>
    <w:rsid w:val="00493F1C"/>
    <w:rsid w:val="004C0DAA"/>
    <w:rsid w:val="004C14A7"/>
    <w:rsid w:val="004D05BB"/>
    <w:rsid w:val="005008EC"/>
    <w:rsid w:val="005A6640"/>
    <w:rsid w:val="005C51DA"/>
    <w:rsid w:val="00647B50"/>
    <w:rsid w:val="00647FA6"/>
    <w:rsid w:val="00690EF3"/>
    <w:rsid w:val="006A5E9C"/>
    <w:rsid w:val="006C4432"/>
    <w:rsid w:val="00704C33"/>
    <w:rsid w:val="00742F84"/>
    <w:rsid w:val="007676BA"/>
    <w:rsid w:val="00771B44"/>
    <w:rsid w:val="007914CD"/>
    <w:rsid w:val="007E2D5D"/>
    <w:rsid w:val="008173D6"/>
    <w:rsid w:val="00821A77"/>
    <w:rsid w:val="008519B6"/>
    <w:rsid w:val="00852547"/>
    <w:rsid w:val="00855430"/>
    <w:rsid w:val="008746A8"/>
    <w:rsid w:val="008C39CE"/>
    <w:rsid w:val="00925060"/>
    <w:rsid w:val="0095360E"/>
    <w:rsid w:val="009A4819"/>
    <w:rsid w:val="009B04AA"/>
    <w:rsid w:val="009E7A25"/>
    <w:rsid w:val="00AC0123"/>
    <w:rsid w:val="00AC3ECE"/>
    <w:rsid w:val="00AF3BCE"/>
    <w:rsid w:val="00B035EA"/>
    <w:rsid w:val="00B46405"/>
    <w:rsid w:val="00B47D35"/>
    <w:rsid w:val="00B52892"/>
    <w:rsid w:val="00B87B64"/>
    <w:rsid w:val="00BC222F"/>
    <w:rsid w:val="00C13227"/>
    <w:rsid w:val="00C763CB"/>
    <w:rsid w:val="00C84CB0"/>
    <w:rsid w:val="00CB7432"/>
    <w:rsid w:val="00CC312A"/>
    <w:rsid w:val="00CF75BD"/>
    <w:rsid w:val="00D221EA"/>
    <w:rsid w:val="00DE36F4"/>
    <w:rsid w:val="00E05D88"/>
    <w:rsid w:val="00E15884"/>
    <w:rsid w:val="00E47C7A"/>
    <w:rsid w:val="00E65EAB"/>
    <w:rsid w:val="00EC1427"/>
    <w:rsid w:val="00EC4205"/>
    <w:rsid w:val="00EE336B"/>
    <w:rsid w:val="00EF4D5C"/>
    <w:rsid w:val="00F26BDA"/>
    <w:rsid w:val="00F403B8"/>
    <w:rsid w:val="00F6399F"/>
    <w:rsid w:val="00F67D93"/>
    <w:rsid w:val="00FA3FC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02BE1"/>
  <w15:docId w15:val="{294CE199-97C8-4E71-8C8E-6363A7B8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0E0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83"/>
  </w:style>
  <w:style w:type="paragraph" w:styleId="Footer">
    <w:name w:val="footer"/>
    <w:basedOn w:val="Normal"/>
    <w:link w:val="FooterChar"/>
    <w:uiPriority w:val="99"/>
    <w:unhideWhenUsed/>
    <w:rsid w:val="0059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83"/>
  </w:style>
  <w:style w:type="paragraph" w:styleId="ListParagraph">
    <w:name w:val="List Paragraph"/>
    <w:basedOn w:val="Normal"/>
    <w:uiPriority w:val="34"/>
    <w:qFormat/>
    <w:rsid w:val="00A15BF3"/>
    <w:pPr>
      <w:ind w:left="720"/>
      <w:contextualSpacing/>
    </w:p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Exs+Erghe46r+gU8UeT6Ou79Iw==">CgMxLjAyCGguZ2pkZ3hzMgloLjMwajB6bGw4AHIhMXpRSjJDUnR5NzRUSUxUNGFrYlBJMzVLRmoweFBsa0V0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DRCC</dc:creator>
  <cp:lastModifiedBy>DRCC</cp:lastModifiedBy>
  <cp:revision>78</cp:revision>
  <dcterms:created xsi:type="dcterms:W3CDTF">2024-01-14T01:22:00Z</dcterms:created>
  <dcterms:modified xsi:type="dcterms:W3CDTF">2024-02-03T15:34:00Z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573fc0d0ac38016f7e01b7717ef39489de115c9ae129f00c3091deb3ddea1ed3</vt:lpwstr>
  </property>
</Properties>
</file>